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Luftfahrzeugführern ist das Führen oder Bedienen eines Luftfahrzeuges unter dem Einfluss von Alkohol oder anderen psychoaktiven Substanzen untersagt. Satz 1 gilt für Medikamente nur so weit, als auf Grund ihrer betäubenden, bewusstseinsverändernden oder aufputschenden Wirkung davon auszugehen ist, dass sie die Dienstfähigkeit von Luftfahrzeugführern beeinträchtigen oder ausschließen, es sei denn, durch eine ärztliche Bescheinigung eines flugmedizinischen Sachverständigen oder eines flugmedizinischen Zentrums kann nachgewiesen werden, dass eine solche Wirkung nicht zu befürchten ist.</w:t>
      </w:r>
    </w:p>
    <w:p>
      <w:r>
        <w:t xml:space="preserve">(2) Luftfahrtunternehmen nach § 20 Absatz 1, die ihren Hauptsitz in Deutschland haben oder über eine durch das Luftfahrt-Bundesamt anerkannte Niederlassung in Deutschland verfügen, haben dafür Sorge zu tragen, dass nur Luftfahrzeugführer eingesetzt werden, die befähigt und geeignet sind, eine sichere und ordnungsgemäße Beförderung zu gewährleisten. Dazu sind von ihnen bei den Luftfahrzeugführern vor Dienstbeginn auch verdachtsunabhängige Kontrollen in Form von Stichproben durchzuführen, in denen geprüft wird, ob die kontrollierte Person unter dem Einfluss von Stoffen nach Absatz 1 steht. Die Kontrollen dürfen nur unter ärztlicher Aufsicht durchgeführt werden. Die Einzelheiten der Durchführung der Kontrollen sind durch Tarifvertrag oder wenn ein solcher nicht besteht durch Betriebsvereinbarung zu regeln.</w:t>
      </w:r>
    </w:p>
    <w:p>
      <w:r>
        <w:rPr>
          <w:color w:val="555555"/>
          <w:sz w:val="17"/>
        </w:rPr>
        <w:t xml:space="preserve">Zitiervorschlag: § 4a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