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49c LuftVG — Unabdingbarkeit</w:t>
      </w:r>
    </w:p>
    <w:p>
      <w:r>
        <w:rPr>
          <w:color w:val="555555"/>
          <w:sz w:val="18"/>
        </w:rPr>
        <w:t xml:space="preserve">Luftverkehrsgesetz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Falle einer entgeltlichen oder geschäftsmäßigen Luftbeförderung darf die Haftung des Luftfrachtführers nach den Vorschriften dieses Unterabschnitts im Voraus durch Vereinbarung weder ausgeschlossen noch beschränkt werden.</w:t>
      </w:r>
    </w:p>
    <w:p>
      <w:r>
        <w:t xml:space="preserve">(2) Eine Vereinbarung, die der Vorschrift des Absatzes 1 zuwider getroffen wird, ist nichtig. Ihre Nichtigkeit hat nicht die Nichtigkeit des gesamten Vertrages zur Folge.</w:t>
      </w:r>
    </w:p>
    <w:p>
      <w:r>
        <w:rPr>
          <w:color w:val="555555"/>
          <w:sz w:val="17"/>
        </w:rPr>
        <w:t xml:space="preserve">Zitiervorschlag: § 49c LuftVG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https://recht.nulegal.eu/gesetze/LuftVG/49c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