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48a LuftVG — Luftbeförderung durch mehrere Luftfrachtführer</w:t>
      </w:r>
    </w:p>
    <w:p>
      <w:r>
        <w:rPr>
          <w:color w:val="555555"/>
          <w:sz w:val="18"/>
        </w:rPr>
        <w:t xml:space="preserve">Luftverkehrsgesetz</w:t>
      </w:r>
    </w:p>
    <w:p>
      <w:r>
        <w:rPr>
          <w:color w:val="555555"/>
          <w:sz w:val="18"/>
        </w:rPr>
        <w:t xml:space="preserve">Stand: 10.06.2019 (konsolidierte Textfassung, kein amtliches Inkrafttretensdatum)</w:t>
      </w:r>
    </w:p>
    <w:p>
      <w:r>
        <w:t xml:space="preserve">(1) Wird die Luftbeförderung nacheinander durch mehrere Luftfrachtführer ausgeführt und wird dabei ein Fluggast getötet, körperlich verletzt, gesundheitlich geschädigt oder verspätet befördert, ist nur der Luftfrachtführer zum Schadensersatz verpflichtet, der die Luftbeförderung ausgeführt hat, in deren Verlauf der Unfall oder die Verspätung eingetreten ist. Dies gilt nicht, wenn der erste Luftfrachtführer die Haftung für die gesamte Luftbeförderung übernommen hat.</w:t>
      </w:r>
    </w:p>
    <w:p>
      <w:r>
        <w:t xml:space="preserve">(2) Wird bei einer Luftbeförderung nach Absatz 1 Reisegepäck zerstört oder beschädigt, geht es verloren oder wird es verspätet befördert, sind der erste, der letzte und derjenige Luftfrachtführer zum Schadensersatz verpflichtet, der die Luftbeförderung ausgeführt hat, in deren Verlauf die Zerstörung, die Beschädigung, der Verlust erfolgt oder die Verspätung eingetreten ist. Diese Luftfrachtführer haften als Gesamtschuldner.</w:t>
      </w:r>
    </w:p>
    <w:p>
      <w:r>
        <w:rPr>
          <w:color w:val="555555"/>
          <w:sz w:val="17"/>
        </w:rPr>
        <w:t xml:space="preserve">Zitiervorschlag: § 48a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