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LuftVG — Haftung auf Grund sonstigen Rechts</w:t>
      </w:r>
    </w:p>
    <w:p>
      <w:r>
        <w:rPr>
          <w:color w:val="555555"/>
          <w:sz w:val="18"/>
        </w:rPr>
        <w:t xml:space="preserve">Luftverkehrsgesetz</w:t>
      </w:r>
    </w:p>
    <w:p>
      <w:r>
        <w:rPr>
          <w:color w:val="555555"/>
          <w:sz w:val="18"/>
        </w:rPr>
        <w:t xml:space="preserve">Stand: 10.06.2019 (konsolidierte Textfassung, kein amtliches Inkrafttretensdatum)</w:t>
      </w:r>
    </w:p>
    <w:p>
      <w:r>
        <w:t xml:space="preserve">(1) Ein Anspruch auf Schadensersatz, auf welchem Rechtsgrund er auch beruht, kann gegen den Luftfrachtführer nur unter den Voraussetzungen und Beschränkungen geltend gemacht werden, die in diesem Unterabschnitt vorgesehen sind.</w:t>
      </w:r>
    </w:p>
    <w:p>
      <w:r>
        <w:t xml:space="preserve">(2) Die gesetzlichen Vorschriften, nach denen andere Personen für den Schaden haften, bleiben unberührt. Haben die Leute des Luftfrachtführers in Ausführung ihrer Verrichtungen gehandelt, können sie sich jedoch auf die Voraussetzungen und Beschränkungen dieses Unterabschnitts berufen.</w:t>
      </w:r>
    </w:p>
    <w:p>
      <w:r>
        <w:t xml:space="preserve">(3) Soweit die in diesem Unterabschnitt bestimmten Beträge die Haftung des Luftfrachtführers und seiner Leute begrenzen, darf der Gesamtbetrag, der von ihnen als Schadensersatz zu leisten ist, diese Beträge nicht überschreiten.</w:t>
      </w:r>
    </w:p>
    <w:p>
      <w:r>
        <w:rPr>
          <w:color w:val="555555"/>
          <w:sz w:val="17"/>
        </w:rPr>
        <w:t xml:space="preserve">Zitiervorschlag: § 48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