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LuftVG — Haftung für Personenschäden</w:t>
      </w:r>
    </w:p>
    <w:p>
      <w:r>
        <w:rPr>
          <w:color w:val="555555"/>
          <w:sz w:val="18"/>
        </w:rPr>
        <w:t xml:space="preserve">Luftverkehrsgesetz</w:t>
      </w:r>
    </w:p>
    <w:p>
      <w:r>
        <w:rPr>
          <w:color w:val="555555"/>
          <w:sz w:val="18"/>
        </w:rPr>
        <w:t xml:space="preserve">Stand: 14.03.2026 (konsolidierte Textfassung, kein amtliches Inkrafttretensdatum)</w:t>
      </w:r>
    </w:p>
    <w:p>
      <w:r>
        <w:t xml:space="preserve">(1) Wird ein Fluggast durch einen Unfall an Bord eines Luftfahrzeugs oder beim Ein- oder Aussteigen getötet, körperlich verletzt oder gesundheitlich geschädigt, ist der Luftfrachtführer verpflichtet, den daraus entstehenden Schaden zu ersetzen.</w:t>
      </w:r>
    </w:p>
    <w:p>
      <w:r>
        <w:t xml:space="preserve">(2) In den Fällen des Absatzes 1 haftet der Luftfrachtführer für jeden Fluggast nur bis zu einem Betrag von 128 821 Rechnungseinheiten, wenn</w:t>
      </w:r>
    </w:p>
    <w:p>
      <w:pPr>
        <w:ind w:left="420"/>
      </w:pPr>
      <w:r>
        <w:t xml:space="preserve">1. der Schaden nicht durch sein rechtswidriges und schuldhaftes Handeln oder Unterlassen oder das rechtswidrige und schuldhafte Handeln oder Unterlassen seiner Leute verursacht wurde oder</w:t>
      </w:r>
    </w:p>
    <w:p>
      <w:pPr>
        <w:ind w:left="420"/>
      </w:pPr>
      <w:r>
        <w:t xml:space="preserve">2. der Schaden ausschließlich durch das rechtswidrige und schuldhafte Handeln oder Unterlassen eines Dritten verursacht wurde.</w:t>
      </w:r>
    </w:p>
    <w:p>
      <w:r>
        <w:t xml:space="preserve">Der Höchstbetrag nach Satz 1 gilt auch für den Kapitalwert einer als Schadensersatz zu leistenden Rente.</w:t>
      </w:r>
    </w:p>
    <w:p>
      <w:r>
        <w:t xml:space="preserve">(3) Übersteigen in den Fällen des Absatzes 1 die Entschädigungen, die mehreren Ersatzberechtigten wegen der Tötung, Körperverletzung oder Gesundheitsbeschädigung eines Fluggastes zu leisten sind, insgesamt den Betrag von 128 821 Rechnungseinheiten und ist eine weitergehende Haftung des Luftfrachtführers nach Absatz 2 ausgeschlossen, so verringern sich die einzelnen Entschädigungen in dem Verhältnis, in welchem ihr Gesamtbetrag zu diesem Betrag steht.</w:t>
      </w:r>
    </w:p>
    <w:p>
      <w:r>
        <w:rPr>
          <w:color w:val="555555"/>
          <w:sz w:val="17"/>
        </w:rPr>
        <w:t xml:space="preserve">Zitiervorschlag: § 45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