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Versicherung zur Deckung der Haftung des Halters eines Luftfahrzeugs nach diesem Unterabschnitt gelten die Vorschriften der nachfolgenden Absätze, soweit die Verordnung (EG) Nr. 785/2004 des Europäischen Parlaments und des Rates vom 21. April 2004 über Versicherungsanforderungen an Luftfahrtunternehmen und Luftfahrzeugbetreiber (ABl. EU Nr. L 138 S. 1), in der jeweils geltenden Fassung, nicht anwendbar ist oder keine Regelung enthält.</w:t>
      </w:r>
    </w:p>
    <w:p>
      <w:r>
        <w:t xml:space="preserve">(2) Der Halter eines Luftfahrzeugs ist verpflichtet, zur Deckung seiner Haftung auf Schadensersatz nach diesem Unterabschnitt eine Haftpflichtversicherung in einer durch Rechtsverordnung zu bestimmenden Höhe zu unterhalten. Satz 1 gilt nicht, wenn der Bund oder ein Land Halter des Luftfahrzeugs ist.</w:t>
      </w:r>
    </w:p>
    <w:p>
      <w:r>
        <w:t xml:space="preserve">(3) Für die Haftpflichtversicherung gelten die Vorschriften für die Pflichtversicherung des Versicherungsvertragsgesetzes. § 114 des Versicherungsvertragsgesetzes gilt nicht.</w:t>
      </w:r>
    </w:p>
    <w:p>
      <w:r>
        <w:rPr>
          <w:color w:val="555555"/>
          <w:sz w:val="17"/>
        </w:rPr>
        <w:t xml:space="preserve">Zitiervorschlag: § 43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