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LuftVG</w:t>
      </w:r>
    </w:p>
    <w:p>
      <w:r>
        <w:rPr>
          <w:color w:val="555555"/>
          <w:sz w:val="18"/>
        </w:rPr>
        <w:t xml:space="preserve">Luftverkehrsgesetz</w:t>
      </w:r>
    </w:p>
    <w:p>
      <w:r>
        <w:rPr>
          <w:color w:val="555555"/>
          <w:sz w:val="18"/>
        </w:rPr>
        <w:t xml:space="preserve">Stand: 10.06.2019 (konsolidierte Textfassung, kein amtliches Inkrafttretensdatum)</w:t>
      </w:r>
    </w:p>
    <w:p>
      <w:r>
        <w:t xml:space="preserve">Unberührt bleiben die bundesrechtlichen Vorschriften, wonach für den beim Betrieb eines Luftfahrzeugs entstehenden Schaden der Halter oder Benutzer (§ 33 Abs. 2) in weiterem Umfang oder der Führer oder ein anderer haftet.</w:t>
      </w:r>
    </w:p>
    <w:p>
      <w:r>
        <w:rPr>
          <w:color w:val="555555"/>
          <w:sz w:val="17"/>
        </w:rPr>
        <w:t xml:space="preserve">Zitiervorschlag: § 42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