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Wird ein Schaden durch mehrere Luftfahrzeuge verursacht und sind die Luftfahrzeughalter einem Dritten kraft Gesetzes zum Schadensersatz verpflichtet, so hängt im Verhältnis der Halter untereinander Pflicht und Umfang des Ersatzes von den Umständen, insbesondere davon ab, wie weit der Schaden überwiegend von dem einen oder dem anderen verursacht worden ist. Dasselbe gilt, wenn der Schaden einem der Halter entstanden ist, bei der Haftpflicht, die einen anderen von ihnen trifft.</w:t>
      </w:r>
    </w:p>
    <w:p>
      <w:r>
        <w:t xml:space="preserve">(2) Absatz 1 gilt entsprechend, wenn neben dem Halter ein anderer für den Schaden verantwortlich ist.</w:t>
      </w:r>
    </w:p>
    <w:p>
      <w:r>
        <w:rPr>
          <w:color w:val="555555"/>
          <w:sz w:val="17"/>
        </w:rPr>
        <w:t xml:space="preserve">Zitiervorschlag: § 41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