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Ersatzpflichtige haftet für die Schäden aus einem Unfall</w:t>
      </w:r>
    </w:p>
    <w:p>
      <w:pPr>
        <w:ind w:left="420"/>
      </w:pPr>
      <w:r>
        <w:t xml:space="preserve">a) bei Luftfahrzeugen unter 500 Kilogramm Höchstabflugmasse nur bis zu einem Kapitalbetrag von 750.000 Rechnungseinheiten,</w:t>
      </w:r>
    </w:p>
    <w:p>
      <w:pPr>
        <w:ind w:left="420"/>
      </w:pPr>
      <w:r>
        <w:t xml:space="preserve">b) bei Luftfahrzeugen unter 1.000 Kilogramm Höchstabflugmasse nur bis zu einem Kapitalbetrag von 1,5 Millionen Rechnungseinheiten,</w:t>
      </w:r>
    </w:p>
    <w:p>
      <w:pPr>
        <w:ind w:left="420"/>
      </w:pPr>
      <w:r>
        <w:t xml:space="preserve">c) bei Luftfahrzeugen unter 2.700 Kilogramm Höchstabflugmasse nur bis zu einem Kapitalbetrag von 3 Millionen Rechnungseinheiten,</w:t>
      </w:r>
    </w:p>
    <w:p>
      <w:pPr>
        <w:ind w:left="420"/>
      </w:pPr>
      <w:r>
        <w:t xml:space="preserve">d) bei Luftfahrzeugen unter 6.000 Kilogramm Höchstabflugmasse nur bis zu einem Kapitalbetrag von 7 Millionen Rechnungseinheiten,</w:t>
      </w:r>
    </w:p>
    <w:p>
      <w:pPr>
        <w:ind w:left="420"/>
      </w:pPr>
      <w:r>
        <w:t xml:space="preserve">e) bei Luftfahrzeugen unter 12.000 Kilogramm Höchstabflugmasse nur bis zu einem Kapitalbetrag von 18 Millionen Rechnungseinheiten,</w:t>
      </w:r>
    </w:p>
    <w:p>
      <w:pPr>
        <w:ind w:left="420"/>
      </w:pPr>
      <w:r>
        <w:t xml:space="preserve">f) bei Luftfahrzeugen unter 25.000 Kilogramm Höchstabflugmasse nur bis zu einem Kapitalbetrag von 80 Millionen Rechnungseinheiten,</w:t>
      </w:r>
    </w:p>
    <w:p>
      <w:pPr>
        <w:ind w:left="420"/>
      </w:pPr>
      <w:r>
        <w:t xml:space="preserve">g) bei Luftfahrzeugen unter 50.000 Kilogramm Höchstabflugmasse nur bis zu einem Kapitalbetrag von 150 Millionen Rechnungseinheiten,</w:t>
      </w:r>
    </w:p>
    <w:p>
      <w:pPr>
        <w:ind w:left="420"/>
      </w:pPr>
      <w:r>
        <w:t xml:space="preserve">h) bei Luftfahrzeugen unter 200.000 Kilogramm Höchstabflugmasse nur bis zu einem Kapitalbetrag von 300 Millionen Rechnungseinheiten,</w:t>
      </w:r>
    </w:p>
    <w:p>
      <w:pPr>
        <w:ind w:left="420"/>
      </w:pPr>
      <w:r>
        <w:t xml:space="preserve">i) bei Luftfahrzeugen unter 500.000 Kilogramm Höchstabflugmasse nur bis zu einem Kapitalbetrag von 500 Millionen Rechnungseinheiten,</w:t>
      </w:r>
    </w:p>
    <w:p>
      <w:pPr>
        <w:ind w:left="420"/>
      </w:pPr>
      <w:r>
        <w:t xml:space="preserve">j) bei Luftfahrzeugen ab 500.000 Kilogramm Höchstabflugmasse nur bis zu einem Kapitalbetrag von 700 Millionen Rechnungseinheiten.</w:t>
      </w:r>
    </w:p>
    <w:p>
      <w:r>
        <w:t xml:space="preserve">Höchstabflugmasse ist das für den Abflug zugelassene Höchstgewicht des Luftfahrzeugs. Für die Umrechnung der Rechnungseinheit nach Satz 1 gilt § 49b entsprechend.</w:t>
      </w:r>
    </w:p>
    <w:p>
      <w:r>
        <w:t xml:space="preserve">(2) Im Falle der Tötung oder Verletzung einer Person haftet der Ersatzpflichtige für jede Person bis zu einem Kapitalbetrag von 600.000 Euro oder bis zu einem Rentenbetrag von jährlich 36.000 Euro.</w:t>
      </w:r>
    </w:p>
    <w:p>
      <w:r>
        <w:t xml:space="preserve">(3) Übersteigen die Entschädigungen, die mehreren auf Grund desselben Ereignisses zustehen, die Höchstbeträge nach Absatz 1, so verringern sich die einzelnen Entschädigungen vorbehaltlich des Absatzes 4 in dem Verhältnis, in dem ihr Gesamtbetrag zum Höchstbetrag steht.</w:t>
      </w:r>
    </w:p>
    <w:p>
      <w:r>
        <w:t xml:space="preserve">(4) Beruhen die Schadensersatzansprüche sowohl auf Sachschäden als auch auf Personenschäden, so dienen zwei Drittel des nach Absatz 1 Satz 1 errechneten Betrages vorzugsweise für den Ersatz von Personenschäden. Reicht dieser Betrag nicht aus, so ist er anteilmäßig auf die Ansprüche zu verteilen. Der übrige Teil des nach Absatz 1 Satz 1 errechneten Betrages ist anteilmäßig für den Ersatz von Sachschäden und für die noch ungedeckten Ansprüche aus Personenschäden zu verwenden.</w:t>
      </w:r>
    </w:p>
    <w:p>
      <w:r>
        <w:rPr>
          <w:color w:val="555555"/>
          <w:sz w:val="17"/>
        </w:rPr>
        <w:t xml:space="preserve">Zitiervorschlag: § 37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