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32c LuftVG</w:t>
      </w:r>
    </w:p>
    <w:p>
      <w:r>
        <w:rPr>
          <w:color w:val="555555"/>
          <w:sz w:val="18"/>
        </w:rPr>
        <w:t xml:space="preserve">Luftverkehrsgesetz</w:t>
      </w:r>
    </w:p>
    <w:p>
      <w:r>
        <w:rPr>
          <w:color w:val="555555"/>
          <w:sz w:val="18"/>
        </w:rPr>
        <w:t xml:space="preserve">Stand: 10.06.2019 (konsolidierte Textfassung, kein amtliches Inkrafttretensdatum)</w:t>
      </w:r>
    </w:p>
    <w:p>
      <w:r>
        <w:t xml:space="preserve">Eine Erlaubnis, Genehmigung, Zulassung oder Berechtigung auf Grund dieses Gesetzes, der zu seiner Durchführung erlassenen Rechtsvorschriften, der im Inland anwendbaren international verbindlichen Luftverkehrsregeln und Betriebsvorschriften im Sinne des Artikels 37 Abs. 2 Buchstabe c und des Artikels 38 des Abkommens vom 7. Dezember 1944 über die Internationale Zivilluftfahrt (BGBl. 1956 II S. 411), der Verordnungen des Rates der Europäischen Union oder der zu deren Durchführung erlassenen nationalen Rechtsvorschriften kann widerrufen werden, wenn der Antragsteller mit der Zahlung fälliger Gebühren auf Grund des Luftrechts und fälliger Entgelte für das Starten, Landen oder Abstellen von Luftfahrzeugen länger als drei Monate im Rückstand ist. An Stelle des Widerrufs kann das Ruhen auf Zeit angeordnet werden, solange der Zahlungsrückstand währt. Eine beantragte Erteilung kann aus den Gründen nach Satz 1 versagt werden, bis die ausstehende Zahlung eingegangen ist.</w:t>
      </w:r>
    </w:p>
    <w:p>
      <w:r>
        <w:rPr>
          <w:color w:val="555555"/>
          <w:sz w:val="17"/>
        </w:rPr>
        <w:t xml:space="preserve">Zitiervorschlag: § 32c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