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32a LuftVG</w:t>
      </w:r>
    </w:p>
    <w:p>
      <w:r>
        <w:rPr>
          <w:color w:val="555555"/>
          <w:sz w:val="18"/>
        </w:rPr>
        <w:t xml:space="preserve">Luftverkehrsgesetz</w:t>
      </w:r>
    </w:p>
    <w:p>
      <w:r>
        <w:rPr>
          <w:color w:val="555555"/>
          <w:sz w:val="18"/>
        </w:rPr>
        <w:t xml:space="preserve">Stand: 30.07.2026 (konsolidierte Textfassung, kein amtliches Inkrafttretensdatum)</w:t>
      </w:r>
    </w:p>
    <w:p>
      <w:r>
        <w:t xml:space="preserve">(1) Bei dem Bundesministerium für Umwelt, Klimaschutz, Naturschutz und nukleare Sicherheit und dem Bundesministerium für Verkehr wird ein Beratender Ausschuss gebildet, der vor Erlass von Rechtsverordnungen und allgemeinen Verwaltungsvorschriften auf Grund dieses Gesetzes zu hören ist, soweit sie dem Schutz gegen Fluglärm und gegen Luftverunreinigungen durch Luftfahrzeuge dienen. Zum Schutz gegen Fluglärm und gegen Luftverunreinigungen durch Luftfahrzeuge kann der Beratende Ausschuss Empfehlungen aussprechen. Dem Ausschuss sollen Vertreter der Wissenschaft, der Technik, der Flugplatzunternehmer, der Luftfahrtunternehmen, der kommunalen Spitzenverbände, der Lärmschutz- und Umweltverbände, der Kommissionen nach § 32b, der Luftfahrtbehörden, der von der Landesregierung bestimmten obersten Landesbehörden und des Umweltbundesamtes angehören. Die Mitgliedschaft ist ehrenamtlich.</w:t>
      </w:r>
    </w:p>
    <w:p>
      <w:r>
        <w:t xml:space="preserve">(2) Die Mitglieder des Beratenden Ausschusses werden je zur Hälfte vom Bundesministerium für Umwelt, Klimaschutz, Naturschutz und nukleare Sicherheit und vom Bundesministerium für Verkehr berufen. Der Ausschuss gibt sich eine Geschäftsordnung und wählt den Vorsitzenden. Die Geschäftsordnung und die Wahl des Vorsitzenden bedürfen der Zustimmung des Bundesministeriums für Umwelt, Klimaschutz, Naturschutz und nukleare Sicherheit und des Bundesministeriums für Verkehr.</w:t>
      </w:r>
    </w:p>
    <w:p>
      <w:r>
        <w:t xml:space="preserve">(3) Der Beratende Ausschuss tagt mindestens einmal jährlich. Dazu lädt der Vorsitzende unter Vorlage einer Tagesordnung ein. Halten das Bundesministerium für Umwelt, Klimaschutz, Naturschutz und nukleare Sicherheit und das Bundesministerium für Verkehr die Empfehlungen des Ausschusses für nicht geeignet oder nicht durchführbar, so ist dies dem Ausschuss unter Angabe der Gründe schriftlich mitzuteilen.</w:t>
      </w:r>
    </w:p>
    <w:p>
      <w:r>
        <w:rPr>
          <w:color w:val="555555"/>
          <w:sz w:val="17"/>
        </w:rPr>
        <w:t xml:space="preserve">Zitiervorschlag: § 32a LuftVG</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https://recht.nulegal.eu/gesetze/LuftVG/32a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