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Die Aufgaben des Bundes nach diesem Gesetz, den Verordnungen der Europäischen Gemeinschaft und den Verordnungen der Europäischen Union werden, soweit es nichts anderes bestimmt, von dem Bundesministerium für Verkehr oder von einer von ihm bestimmten Stelle wahrgenommen. Erfolgt die Bestimmung durch Rechtsverordnung, so bedarf diese nicht der Zustimmung des Bundesrates. Das Gesetz über das Luftfahrt-Bundesamt bleibt unberührt.</w:t>
      </w:r>
    </w:p>
    <w:p>
      <w:r>
        <w:t xml:space="preserve">(2) Die Länder führen nachstehende Aufgaben dieses Gesetzes im Auftrage des Bundes aus:</w:t>
      </w:r>
    </w:p>
    <w:p>
      <w:pPr>
        <w:ind w:left="420"/>
      </w:pPr>
      <w:r>
        <w:t xml:space="preserve">1. die Erteilung der Erlaubnis für Piloten von Leichtluftfahrzeugen, Privatpiloten, Segelflugzeugführer, Freiballonführer, Steuerer von verkehrszulassungspflichtigen Flugmodellen und sonstigem verkehrszulassungspflichtigen Luftfahrtgerät ohne Luftsportgerät (§ 4) sowie der Berechtigungen nach der Verordnung (EU) Nr. 1178/2011 und nach der Verordnung über Luftfahrtpersonal an diese Personen; ausgenommen hiervon bleiben die Erlaubnisse, die zugleich mit der Instrumentenflugberechtigung erteilt oder die nachträglich um die Instrumentenflugberechtigung erweitert werden;</w:t>
      </w:r>
    </w:p>
    <w:p>
      <w:pPr>
        <w:ind w:left="420"/>
      </w:pPr>
      <w:r>
        <w:t xml:space="preserve">2. (weggefallen)</w:t>
      </w:r>
    </w:p>
    <w:p>
      <w:pPr>
        <w:ind w:left="420"/>
      </w:pPr>
      <w:r>
        <w:t xml:space="preserve">3. die Erteilung der Erlaubnis für die Ausbildung des in Nummer 1 genannten Luftfahrtpersonals (§ 5);</w:t>
      </w:r>
    </w:p>
    <w:p>
      <w:pPr>
        <w:ind w:left="420"/>
      </w:pPr>
      <w:r>
        <w:t xml:space="preserve">4. die Genehmigung von Flugplätzen, mit Ausnahme der Prüfung und Entscheidung, inwieweit durch die Anlegung und den Betrieb eines Flughafens, der dem allgemeinen Verkehr dienen soll, die öffentlichen Interessen des Bundes berührt werden (§ 6) sowie die Genehmigung der Flugplatzentgelte und der Flugplatzbenutzungsordnung;</w:t>
      </w:r>
    </w:p>
    <w:p>
      <w:pPr>
        <w:ind w:left="420"/>
      </w:pPr>
      <w:r>
        <w:t xml:space="preserve">4a. die im Zusammenhang mit der Regelung der Bodenabfertigungsdienste auf Flugplätzen nach § 19c Abs. 1 und 2 erforderlichen Maßnahmen und Verwaltungsentscheidungen;</w:t>
      </w:r>
    </w:p>
    <w:p>
      <w:pPr>
        <w:ind w:left="420"/>
      </w:pPr>
      <w:r>
        <w:t xml:space="preserve">4b. die Erteilung des Zeugnisses und die Entscheidung über die Freistellung nach § 10a;</w:t>
      </w:r>
    </w:p>
    <w:p>
      <w:pPr>
        <w:ind w:left="420"/>
      </w:pPr>
      <w:r>
        <w:t xml:space="preserve">4c. im Bereich der Vorfeldkontrolldienste</w:t>
      </w:r>
    </w:p>
    <w:p>
      <w:pPr>
        <w:ind w:left="780"/>
      </w:pPr>
      <w:r>
        <w:t xml:space="preserve">a) gemäß Anhang III ADR.OR.F.005 Buchstabe a und b zu der Verordnung (EU) Nr. 139/2014 die Entgegennahme von Erklärungen und Benachrichtigungen von Organisationen, die für die Erbringung von Vorfeldkontrolldiensten zuständig sind; Organisationen im Sinne von ADR.OR.F.005 Buchstabe a der Verordnung (EU) Nr. 139/2014 sind auch zugelassene Anbieter von Flugverkehrsdiensten, die Vorfeldkontrolldienste erbringen;</w:t>
      </w:r>
    </w:p>
    <w:p>
      <w:pPr>
        <w:ind w:left="780"/>
      </w:pPr>
      <w:r>
        <w:t xml:space="preserve">b) die Aufsichts- und Durchsetzungsaufgaben in Bezug auf die Organisationen, die Vorfeldkontrolldienste erbringen;</w:t>
      </w:r>
    </w:p>
    <w:p>
      <w:pPr>
        <w:ind w:left="420"/>
      </w:pPr>
      <w:r>
        <w:t xml:space="preserve">4d. die Aufsichts- und Durchsetzungsaufgaben in Bezug auf die Flugplätze und Flugplatzbetreiber sowie damit befasster Personen gemäß Artikel 3 Absatz 1 der Verordnung (EU) Nr. 139/2014;</w:t>
      </w:r>
    </w:p>
    <w:p>
      <w:pPr>
        <w:ind w:left="420"/>
      </w:pPr>
      <w:r>
        <w:t xml:space="preserve">4e. die Befreiung eines Flugplatzes von der Verpflichtung, stationäre Luftfahrzeuge an allen Luftfahrzeugvorfeldpositionen mit Strom zu versorgen, gemäß Artikel 12 Absatz 2 der Verordnung (EU) 2023/1804;</w:t>
      </w:r>
    </w:p>
    <w:p>
      <w:pPr>
        <w:ind w:left="420"/>
      </w:pPr>
      <w:r>
        <w:t xml:space="preserve">4f. die Prüfung der Anträge von Flugplätzen auf Ausnahmen von den Anforderungen in Artikel 34 Absatz 1 Unterabsatz 1 Buchstabe g gemäß Artikel 34 Absatz 2 Unterabsatz 1 der Verordnung (EU) 2024/1679;</w:t>
      </w:r>
    </w:p>
    <w:p>
      <w:pPr>
        <w:ind w:left="420"/>
      </w:pPr>
      <w:r>
        <w:t xml:space="preserve">5. die Erteilung der Erlaubnis für Vorbereitungsarbeiten zur Anlegung von Flugplätzen (§ 7);</w:t>
      </w:r>
    </w:p>
    <w:p>
      <w:pPr>
        <w:ind w:left="420"/>
      </w:pPr>
      <w:r>
        <w:t xml:space="preserve">6. die Bestimmung von beschränkten Bauschutzbereichen bei Landeplätzen und Segelfluggeländen (§ 17);</w:t>
      </w:r>
    </w:p>
    <w:p>
      <w:pPr>
        <w:ind w:left="420"/>
      </w:pPr>
      <w:r>
        <w:t xml:space="preserve">7. die Zustimmung zur Baugenehmigung oder einer sonstigen nach allgemeinen Vorschriften erforderlichen Genehmigung oder die luftrechtliche Genehmigung bei der Errichtung von Bauwerken, Anlagen und Geräten, bei Bäumen sowie bei der Herstellung von Bodenvertiefungen in Bauschutzbereichen und beschränkten Bauschutzbereichen (§§ 12, 15 und 17);</w:t>
      </w:r>
    </w:p>
    <w:p>
      <w:pPr>
        <w:ind w:left="420"/>
      </w:pPr>
      <w:r>
        <w:t xml:space="preserve">8. die Festlegung von Bauhöhen, bis zu denen in Bauschutzbereichen und beschränkten Bauschutzbereichen ohne Zustimmung der Luftfahrtbehörden Baugenehmigungen oder sonstige nach allgemeinen Vorschriften erforderliche Genehmigungen erteilt werden können (§§ 13, 15 und 17);</w:t>
      </w:r>
    </w:p>
    <w:p>
      <w:pPr>
        <w:ind w:left="420"/>
      </w:pPr>
      <w:r>
        <w:t xml:space="preserve">9. die Zustimmung zur Baugenehmigung oder einer sonstigen nach allgemeinen Vorschriften erforderlichen Genehmigung oder die luftrechtliche Genehmigung bei der Errichtung von Bauwerken, Anlagen und Geräten sowie bei Bäumen außerhalb der Bauschutzbereiche (§§ 14 und 15);</w:t>
      </w:r>
    </w:p>
    <w:p>
      <w:pPr>
        <w:ind w:left="420"/>
      </w:pPr>
      <w:r>
        <w:t xml:space="preserve">10. das Verlangen, die Abtragung von Bauwerken und anderen Luftfahrthindernissen, welche die zulässigen Höhen überragen, sowie die Kennzeichnung von Luftfahrthindernissen und die Beseitigung von Vertiefungen oder die erforderlichen Sicherheitsmaßnahmen zu dulden (§§ 16, 16a und 17);</w:t>
      </w:r>
    </w:p>
    <w:p>
      <w:pPr>
        <w:ind w:left="420"/>
      </w:pPr>
      <w:r>
        <w:t xml:space="preserve">11. die Entgegennahme und Verwaltung von Erklärungen des Betreibers für den spezialisierten Flugbetrieb mit anderen als technisch komplizierten Luftfahrzeugen nach den Anhängen III und VIII der Verordnung (EU) Nr. 965/2012 in der jeweils geltenden Fassung, soweit die Luftfahrzeuge dabei ausschließlich nach Sichtflugregeln betrieben werden;</w:t>
      </w:r>
    </w:p>
    <w:p>
      <w:pPr>
        <w:ind w:left="420"/>
      </w:pPr>
      <w:r>
        <w:t xml:space="preserve">11a. die Erteilung</w:t>
      </w:r>
    </w:p>
    <w:p>
      <w:pPr>
        <w:ind w:left="780"/>
      </w:pPr>
      <w:r>
        <w:t xml:space="preserve">a) eines Luftverkehrsbetreiberzeugnisses für gewerbliche Rundflüge gemäß Artikel 5 Absatz 1 und 1a in Verbindung mit den Anhängen III und IV der Verordnung (EU) Nr. 965/2012, es sei denn, diese Rundflüge finden nicht nach Sichtflugregeln statt, und</w:t>
      </w:r>
    </w:p>
    <w:p>
      <w:pPr>
        <w:ind w:left="780"/>
      </w:pPr>
      <w:r>
        <w:t xml:space="preserve">b) einer Genehmigung zur Durchführung von spezialisiertem Flugbetrieb mit hohem Risiko mit anderen als technisch komplizierten Luftfahrzeugen nach Anhang III ORO.SPO.110 in Verbindung mit Anhang II ARO.OPS.150 der Verordnung (EU) Nr. 965/2012, soweit die Luftfahrzeuge dabei ausschließlich nach Sichtflugregeln betrieben werden; dies gilt nicht, wenn für den Betrieb eine weitergehende Sondergenehmigung nach Anhang V der Verordnung (EU) Nr. 965/2012 erforderlich ist, für welche das Luftfahrt-Bundesamt zuständig ist;</w:t>
      </w:r>
    </w:p>
    <w:p>
      <w:pPr>
        <w:ind w:left="420"/>
      </w:pPr>
      <w:r>
        <w:t xml:space="preserve">11b. die Aufsicht über den Flugbetrieb gemäß Anhang VII der Verordnung (EU) Nr. 965/2012;</w:t>
      </w:r>
    </w:p>
    <w:p>
      <w:pPr>
        <w:ind w:left="420"/>
      </w:pPr>
      <w:r>
        <w:t xml:space="preserve">12. die Genehmigung von Luftfahrtveranstaltungen, die nicht über das Land, in dem die Veranstaltung stattfindet, hinausgehen oder für die das Bundesministerium für Verkehr im Einvernehmen mit den beteiligten Ländern einen Auftrag erteilt hat (§ 24);</w:t>
      </w:r>
    </w:p>
    <w:p>
      <w:pPr>
        <w:ind w:left="420"/>
      </w:pPr>
      <w:r>
        <w:t xml:space="preserve">13. die Erteilung der Erlaubnis zum Starten und Landen außerhalb der genehmigten Flugplätze (§ 25), ausgenommen die Erteilung der Erlaubnis zum Starten und Landen für nicht motorgetriebene Luftsportgeräte;</w:t>
      </w:r>
    </w:p>
    <w:p>
      <w:pPr>
        <w:ind w:left="420"/>
      </w:pPr>
      <w:r>
        <w:t xml:space="preserve">14. (weggefallen)</w:t>
      </w:r>
    </w:p>
    <w:p>
      <w:pPr>
        <w:ind w:left="420"/>
      </w:pPr>
      <w:r>
        <w:t xml:space="preserve">15. die Mitwirkung bei der Bestimmung der Koordinierungseckwerte (§ 27a Abs. 2);</w:t>
      </w:r>
    </w:p>
    <w:p>
      <w:pPr>
        <w:ind w:left="420"/>
      </w:pPr>
      <w:r>
        <w:t xml:space="preserve">16. die Erteilung der Erlaubnis zu besonderer Benutzung des Luftraums für</w:t>
      </w:r>
    </w:p>
    <w:p>
      <w:pPr>
        <w:ind w:left="780"/>
      </w:pPr>
      <w:r>
        <w:t xml:space="preserve">a) Kunstflüge,</w:t>
      </w:r>
    </w:p>
    <w:p>
      <w:pPr>
        <w:ind w:left="780"/>
      </w:pPr>
      <w:r>
        <w:t xml:space="preserve">b) Schleppflüge,</w:t>
      </w:r>
    </w:p>
    <w:p>
      <w:pPr>
        <w:ind w:left="780"/>
      </w:pPr>
      <w:r>
        <w:t xml:space="preserve">c) Reklameflüge,</w:t>
      </w:r>
    </w:p>
    <w:p>
      <w:pPr>
        <w:ind w:left="780"/>
      </w:pPr>
      <w:r>
        <w:t xml:space="preserve">d) Abwerfen von Gegenständen aus Luftfahrzeugen,</w:t>
      </w:r>
    </w:p>
    <w:p>
      <w:pPr>
        <w:ind w:left="780"/>
      </w:pPr>
      <w:r>
        <w:t xml:space="preserve">e) den Aufstieg von Frei- und Fesselballonen,</w:t>
      </w:r>
    </w:p>
    <w:p>
      <w:pPr>
        <w:ind w:left="780"/>
      </w:pPr>
      <w:r>
        <w:t xml:space="preserve">f) das Steigenlassen von Flugkörpern mit Eigenantrieb,</w:t>
      </w:r>
    </w:p>
    <w:p>
      <w:pPr>
        <w:ind w:left="780"/>
      </w:pPr>
      <w:r>
        <w:t xml:space="preserve">g) Abweichungen von Sicherheitsmindestflughöhen, Sicherheitsmindestabständen, Mindesthöhen,</w:t>
      </w:r>
    </w:p>
    <w:p>
      <w:pPr>
        <w:ind w:left="780"/>
      </w:pPr>
      <w:r>
        <w:t xml:space="preserve">h) den Aufstieg und Betrieb von Geräten, die ohne Luftfahrzeug zu sein, besondere Gefahren für die Luftfahrt mit sich bringen, insbesondere Feuerwerkskörper, optische Lichtsignalgeräte, Drachen, Kinderballone und ballonartige Leuchtkörper</w:t>
      </w:r>
    </w:p>
    <w:p>
      <w:pPr>
        <w:ind w:left="420"/>
      </w:pPr>
      <w:r>
        <w:t xml:space="preserve">mit Ausnahme der Erlaubnisse, die vom Bundesaufsichtsamt für Flugsicherung oder der Flugsicherungsorganisation erteilt werden;</w:t>
      </w:r>
    </w:p>
    <w:p>
      <w:pPr>
        <w:ind w:left="420"/>
      </w:pPr>
      <w:r>
        <w:t xml:space="preserve">16a. die Aufsicht über den Betrieb von unbemannten Fluggeräten in der Betriebskategorie „offen“ nach Artikel 4 in Verbindung mit Teil A des Anhangs der Durchführungsverordnung (EU) 2019/947 der Kommission vom 24. Mai 2019 über die Vorschriften und Verfahren für den Betrieb unbemannter Luftfahrzeuge (ABl. L 152 vom 11.6.2019, S. 45), die zuletzt durch die Durchführungsverordnung (EU) 2020/746 (ABl. L 176 vom 5.6.2020, S. 13) geändert worden ist;</w:t>
      </w:r>
    </w:p>
    <w:p>
      <w:pPr>
        <w:ind w:left="420"/>
      </w:pPr>
      <w:r>
        <w:t xml:space="preserve">16b. die Erteilung von Betriebsgenehmigungen in der Betriebskategorie „speziell“ für den Betrieb von unbemannten Fluggeräten nach Artikel 5 Absatz 1 in Verbindung mit Artikel 12 Absatz 1 bis 4 und Teil B des Anhangs der Durchführungsverordnung (EU) 2019/947 einschließlich ihrer Aktualisierung nach Artikel 13 Absatz 2 Satz 2 der Durchführungsverordnung (EU) 2019/947, es sei denn, es geht um die Erteilung einer Betriebsgenehmigung nach Artikel 5 Absatz 4 Buchstabe b der Durchführungsverordnung (EU) 2019/947;</w:t>
      </w:r>
    </w:p>
    <w:p>
      <w:pPr>
        <w:ind w:left="420"/>
      </w:pPr>
      <w:r>
        <w:t xml:space="preserve">16c. die Erteilung von Genehmigungen zum Betrieb von unbemannten Fluggeräten in geografischen Gebieten, die nach Artikel 15 Absatz 1 der Durchführungsverordnung (EU) 2019/947 festgelegt wurden;</w:t>
      </w:r>
    </w:p>
    <w:p>
      <w:pPr>
        <w:ind w:left="420"/>
      </w:pPr>
      <w:r>
        <w:t xml:space="preserve">16d. die Erteilung von Erlaubnissen zum Betrieb von Flugmodellen im Rahmen von Luftsportverbänden nach § 21f der Luftverkehrs-Ordnung;</w:t>
      </w:r>
    </w:p>
    <w:p>
      <w:pPr>
        <w:ind w:left="420"/>
      </w:pPr>
      <w:r>
        <w:t xml:space="preserve">17. die Aufsicht innerhalb der in den Nummern 1 bis 16d festgelegten Verwaltungszuständigkeiten; dies gilt nicht, sofern die Aufsicht in den Nummern 1 bis 16d bereits als Aufgabe geregelt ist;</w:t>
      </w:r>
    </w:p>
    <w:p>
      <w:pPr>
        <w:ind w:left="420"/>
      </w:pPr>
      <w:r>
        <w:t xml:space="preserve">18. die Ausübung der Luftaufsicht, soweit diese nicht das Bundesministerium für Verkehr auf Grund gesetzlicher Regelung selbst, das Luftfahrt-Bundesamt, das Bundesaufsichtsamt für Flugsicherung, die Flugsicherungsorganisation oder die für die Flughafenkoordinierung und die Luftsportgeräte zuständigen Stellen im Rahmen ihrer Aufgaben ausüben.</w:t>
      </w:r>
    </w:p>
    <w:p>
      <w:r>
        <w:t xml:space="preserve">(2a) Auf Antrag eines Landes können die Aufgaben nach Absatz 2 Nummer 11a und 16b vom Bundesministerium für Verkehr oder von einer von ihm bestimmten Bundesbehörde oder Stelle wahrgenommen werden.</w:t>
      </w:r>
    </w:p>
    <w:p>
      <w:r>
        <w:t xml:space="preserve">(3) Die Entscheidungen in den Fällen des Absatzes 2 Nr. 4, 6 bis 10 und 12, ausgenommen die Genehmigungen der Flugplatzentgelte und der Flugplatzbenutzungsordnungen, werden auf Grund einer gutachtlichen Stellungnahme der Flugsicherungsorganisation getroffen.</w:t>
      </w:r>
    </w:p>
    <w:p>
      <w:r>
        <w:t xml:space="preserve">(3a) Die Entscheidungen in den Fällen des Absatzes 2 Nummer 16b können auf Grund einer gutachtlichen Stellungnahme des Luftfahrt-Bundesamtes oder einer anderen von ihm bestimmten Stelle getroffen werden.</w:t>
      </w:r>
    </w:p>
    <w:p>
      <w:r>
        <w:t xml:space="preserve">(4) Die Genehmigung von Luftfahrtunternehmen nach Absatz 2 Nr. 11 wird auf Grund einer Prüfung des technischen und betrieblichen Zustandes des Unternehmens durch das Luftfahrt-Bundesamt erteilt, wenn die Genehmigungsbehörde dies im besonders gelagerten Einzelfall für erforderlich hält.</w:t>
      </w:r>
    </w:p>
    <w:p>
      <w:r>
        <w:rPr>
          <w:color w:val="555555"/>
          <w:sz w:val="17"/>
        </w:rPr>
        <w:t xml:space="preserve">Zitiervorschlag: § 31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