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Die Bundeswehr und die Truppen der NATO-Vertragsstaaten sowie Truppen, die auf Grund einer gesonderten Vereinbarung in Deutschland üben, dürfen von den Vorschriften des Ersten Abschnitts dieses Gesetzes, ausgenommen die §§ 12, 13 und 15 bis 19, und von den zu seiner Durchführung erlassenen Vorschriften unter Berücksichtigung der öffentlichen Sicherheit oder Ordnung abweichen, soweit dies zur Erfüllung ihrer besonderen Aufgaben erforderlich ist. Von den Vorschriften über das Verhalten im Luftraum darf nur abgewichen werden, soweit dies zur Erfüllung hoheitlicher Aufgaben zwingend notwendig ist.</w:t>
      </w:r>
    </w:p>
    <w:p>
      <w:r>
        <w:t xml:space="preserve">(1a) Die Polizeien des Bundes und der Länder dürfen von den Vorschriften des Ersten Abschnitts dieses Gesetzes – ausgenommen die §§ 5 bis 10, 12, 13 sowie 15 bis 19 – und den zu seiner Durchführung erlassenen Vorschriften abweichen, soweit dies zur Erfüllung ihrer Aufgaben unter Berücksichtigung der öffentlichen Sicherheit oder Ordnung erforderlich ist. Von den Vorschriften über das Verhalten im Luftraum darf nur abgewichen werden, soweit dies zur Erfüllung hoheitlicher Aufgaben zwingend notwendig ist.</w:t>
      </w:r>
    </w:p>
    <w:p>
      <w:r>
        <w:t xml:space="preserve">(1b) Das in § 8 vorgesehene Planfeststellungsverfahren entfällt, wenn militärische Flugplätze angelegt oder geändert werden sollen.</w:t>
      </w:r>
    </w:p>
    <w:p>
      <w:r>
        <w:t xml:space="preserve">(1c) Das Bundesministerium der Verteidigung oder die zuständige Dienststelle der Bundeswehr kann entscheiden, dass das Genehmigungsverfahren nach § 6 entfällt, wenn</w:t>
      </w:r>
    </w:p>
    <w:p>
      <w:pPr>
        <w:ind w:left="420"/>
      </w:pPr>
      <w:r>
        <w:t xml:space="preserve">1. die Anlegung oder Änderung eines Flugplatzes ausschließlich Zwecken der Landes- und Bündnisverteidigung dient,</w:t>
      </w:r>
    </w:p>
    <w:p>
      <w:pPr>
        <w:ind w:left="420"/>
      </w:pPr>
      <w:r>
        <w:t xml:space="preserve">2. sich die Durchführung des Genehmigungsverfahrens nach Einschätzung des Bundesministeriums der Verteidigung oder der zuständigen Dienststelle der Bundeswehr nachteilig auf die Erreichung der Zwecke der Landes- und Bündnisverteidigung auswirken würde und</w:t>
      </w:r>
    </w:p>
    <w:p>
      <w:pPr>
        <w:ind w:left="420"/>
      </w:pPr>
      <w:r>
        <w:t xml:space="preserve">3. die Entscheidung im Einzelfall ergeht.</w:t>
      </w:r>
    </w:p>
    <w:p>
      <w:r>
        <w:t xml:space="preserve">Eine nachteilige Auswirkung im Sinne des Satzes 1 Nummer 2 liegt bei Anlegung eines Flugplatzes nur vor, wenn Gründe der Geheimhaltung oder der Eilbedürftigkeit des Vorhabens der Durchführung des Genehmigungsverfahrens entgegenstehen. Zwecke der Landes- und Bündnisverteidigung im Sinne der Nummer 1 schließen auch zwischenstaatliche sowie völkerrechtliche Verpflichtungen ein. Entfällt für ein Vorhaben das in § 6 genannte Genehmigungsverfahren, bleiben die für seine Durchführung geltenden Anforderungen aus anderem Fachrecht unberührt und sind durch das Bundesministerium der Verteidigung oder die zuständigen Fachdienststellen der Bundeswehr einzuhalten. Das Bundesministerium der Verteidigung oder die zuständige Fachdienststelle der Bundeswehr dokumentiert die Gründe für das Entfallen des Genehmigungsverfahrens nach Satz 1; die zuständigen Fachdienststellen der Bundeswehr dokumentieren, wie sie die Anforderungen des anderen Fachrechts nach Satz 4 berücksichtigen.</w:t>
      </w:r>
    </w:p>
    <w:p>
      <w:r>
        <w:t xml:space="preserve">(2) Die Verwaltungszuständigkeiten auf Grund dieses Gesetzes werden für den Dienstbereich der Bundeswehr und, soweit völkerrechtliche Verträge nicht entgegenstehen, der Truppen der NATO-Vertragsstaaten und der in Deutschland übenden Truppen durch Dienststellen der Bundeswehr nach Bestimmungen des Bundesministeriums der Verteidigung wahrgenommen. Dies gilt nicht für die Aufgaben der Flugsicherung nach § 27c mit Ausnahme der örtlichen Flugsicherung an den militärischen Flugplätzen; die notwendigen Vorbereitungen zur Wahrnehmung der Aufgaben nach Artikel 87a des Grundgesetzes bleiben unberührt. Das Bundesministerium der Verteidigung erteilt die Erlaubnisse nach § 2 Abs. 7 und § 27 auch für andere militärische Luftfahrzeuge. In den Fällen der §§ 12, 13 und 15 bis 19 treten bei militärischen Flugplätzen und stationären militärischen Einrichtungen zur Luftverteidigung die Dienststellen der Bundeswehr an die Stelle der Flugsicherungsorganisationen und der genannten Luftfahrtbehörden. Im Fall des § 14 treten die zuständigen Dienststellen der Bundeswehr neben die Flugsicherungsorganisationen und die Behörden der Länder nach § 31 Absatz 2 Nummer 9. Die Dienststellen der Bundeswehr treffen ihre Entscheidungen in eigener Zuständigkeit und Verantwortung für die öffentliche Sicherheit und Ordnung. Zusätzlicher behördlicher Genehmigungen, Erlaubnisse und Abnahmen, insbesondere der zivilen Luftfahrtbehörden, bedarf es nicht.</w:t>
      </w:r>
    </w:p>
    <w:p>
      <w:r>
        <w:t xml:space="preserve">(3) Bei der Anlegung und wesentlichen Änderung militärischer Flugplätze auf Gelände, das nicht durch Maßnahmen auf Grund des Landbeschaffungsgesetzes beschafft zu werden braucht, sind die Erfordernisse der Raumordnung, insbesondere des zivilen Luftverkehrs, nach Anhörung der Regierungen der Länder, die von der Anlegung oder Änderung betroffen werden, angemessen zu berücksichtigen. §§ 4 und 5 des Raumordnungsgesetzes bleiben unberührt. Das Bundesministerium der Verteidigung kann von der Stellungnahme dieser Länder hinsichtlich der Erfordernisse des zivilen Luftverkehrs nur im Einvernehmen mit dem Bundesministerium für Verkehr abweichen; es unterrichtet die Regierungen der betroffenen Länder von seiner Entscheidung. Wird Gelände für die Anlegung und wesentliche Änderung militärischer Flugplätze nach den Vorschriften des Landbeschaffungsgesetzes beschafft, findet allein das Anhörungsverfahren nach § 1 Abs. 2 des Landbeschaffungsgesetzes statt; hierbei sind insbesondere die Erfordernisse des zivilen Luftverkehrs angemessen zu berücksichtigen. In den Fällen des Absatzes 1c sind die durch das Vorhaben betroffenen Länder unverzüglich zu unterrichten.</w:t>
      </w:r>
    </w:p>
    <w:p>
      <w:r>
        <w:rPr>
          <w:color w:val="555555"/>
          <w:sz w:val="17"/>
        </w:rPr>
        <w:t xml:space="preserve">Zitiervorschlag: § 30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