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Zwecke der Zivilluftfahrt ist die Enteignung zulässig. Die Befugnis der Länder, Enteignungen für Sonderflugplätze vorzusehen, bleibt unberührt.</w:t>
      </w:r>
    </w:p>
    <w:p>
      <w:r>
        <w:t xml:space="preserve">(2) Hat ein Planfeststellungs-, Plangenehmigungs- oder Genehmigungsverfahren stattgefunden, so ist der festgestellte Plan, die Plangenehmigung oder die Genehmigung dem Enteignungsverfahren zugrunde zu legen und für die Enteignungsbehörde bindend.</w:t>
      </w:r>
    </w:p>
    <w:p>
      <w:r>
        <w:t xml:space="preserve">(3) Im Übrigen gelten die Enteignungsgesetze der Länder.</w:t>
      </w:r>
    </w:p>
    <w:p>
      <w:r>
        <w:rPr>
          <w:color w:val="555555"/>
          <w:sz w:val="17"/>
        </w:rPr>
        <w:t xml:space="preserve">Zitiervorschlag: § 28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