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27d LuftVG — Flugsicherungsdienste, Verordnungsermächtigung</w:t>
      </w:r>
    </w:p>
    <w:p>
      <w:r>
        <w:rPr>
          <w:color w:val="555555"/>
          <w:sz w:val="18"/>
        </w:rPr>
        <w:t xml:space="preserve">Luftverkehrsgesetz</w:t>
      </w:r>
    </w:p>
    <w:p>
      <w:r>
        <w:rPr>
          <w:color w:val="555555"/>
          <w:sz w:val="18"/>
        </w:rPr>
        <w:t xml:space="preserve">Stand: 30.07.2026 (konsolidierte Textfassung, kein amtliches Inkrafttretensdatum)</w:t>
      </w:r>
    </w:p>
    <w:p>
      <w:r>
        <w:t xml:space="preserve">(1) Flugsicherungsdienste und die dazu erforderlichen flugsicherungstechnischen Einrichtungen werden an den Flugplätzen vorgehalten, bei denen das Bundesministerium für Verkehr einen Bedarf aus Gründen der Sicherheit und aus verkehrspolitischen Interessen anerkennt.</w:t>
      </w:r>
    </w:p>
    <w:p>
      <w:r>
        <w:t xml:space="preserve">(1a) Flugsicherungsdienste und die dazu erforderlichen flugsicherungstechnischen Einrichtungen werden auch an den Flugplätzen vorgehalten, bei denen das Bundesministerium für Verkehr dafür die Notwendigkeit anerkennt nach Artikel 3a der Durchführungsverordnung (EU) 2017/373 der Kommission vom 1. März 2017 zur Festlegung gemeinsamer Anforderungen an Flugverkehrsmanagementanbieter und Anbieter von Flugsicherungsdiensten sowie sonstiger Funktionen des Flugverkehrsmanagementnetzes und die Aufsicht hierüber sowie zur Aufhebung der Verordnung (EG) Nr. 482/2008, der Durchführungsverordnungen (EU) Nr. 1034/2011, (EU) Nr. 1035/2011 und (EU) 2016/1377 und zur Änderung der Verordnung (EU) Nr. 677/2011 (ABl. L 62 vom 8.3.2017, S. 1), die zuletzt durch die Durchführungsverordnung (EU) 2020/469 (ABl. L 104 vom 3.4.2020, S. 1) geändert worden ist.</w:t>
      </w:r>
    </w:p>
    <w:p>
      <w:r>
        <w:t xml:space="preserve">(1b) Das Bundesministerium für Verkehr wird ermächtigt, durch Rechtsverordnung, die nicht der Zustimmung des Bundesrates bedarf, die von den Absätzen 1 und 1a erfassten Flugplätze sowie die Art des dort jeweils notwendigen Flugsicherungsdienstes zu bestimmen.</w:t>
      </w:r>
    </w:p>
    <w:p>
      <w:r>
        <w:t xml:space="preserve">(2) Die Flugplatzunternehmer sind auf Verlangen der Flugsicherungsorganisation im erforderlichen Umfang verpflichtet,</w:t>
      </w:r>
    </w:p>
    <w:p>
      <w:pPr>
        <w:ind w:left="420"/>
      </w:pPr>
      <w:r>
        <w:t xml:space="preserve">1. die baulichen und räumlichen Voraussetzungen für Zwecke der Flugsicherung zu schaffen und zu erhalten, die hierfür benötigten Grundstücke zur Verfügung zu stellen und die Verlegung und Instandhaltung von Kabelverbindungen auf ihren Grundstücken zu dulden,</w:t>
      </w:r>
    </w:p>
    <w:p>
      <w:pPr>
        <w:ind w:left="420"/>
      </w:pPr>
      <w:r>
        <w:t xml:space="preserve">2. dem Flugsicherungspersonal die Mitbenutzung der an den Flugplätzen bestehenden Infrastruktur zu ermöglichen,</w:t>
      </w:r>
    </w:p>
    <w:p>
      <w:pPr>
        <w:ind w:left="420"/>
      </w:pPr>
      <w:r>
        <w:t xml:space="preserve">3. die von ihnen überlassenen Bauten und Räume mit Energie und Wasser zu versorgen, sie zu heizen und zu klimatisieren, sonstige Versorgungsleistungen zu erbringen und die notwendige Entsorgung sicherzustellen.</w:t>
      </w:r>
    </w:p>
    <w:p>
      <w:r>
        <w:t xml:space="preserve">Außerhalb der Flugplätze gilt dies nur, soweit die Anlagen und Einrichtungen der Flugsicherung dem Start- und Landevorgang dienen.</w:t>
      </w:r>
    </w:p>
    <w:p>
      <w:r>
        <w:t xml:space="preserve">(3) Die sich aus der Erfüllung der Pflichten nach Absatz 2 ergebenden Selbstkosten werden den Flugplatzunternehmern von der Flugsicherungsorganisation erstattet. Einzelheiten der Kostenerstattung nach Satz 1 können vertraglich zwischen der Flugsicherungsorganisation und dem Flugplatzunternehmen geregelt werden.</w:t>
      </w:r>
    </w:p>
    <w:p>
      <w:r>
        <w:t xml:space="preserve">(4) Wird für einen Flugplatz ein Bedarf nach Absatz 1 oder eine Notwendigkeit nach Absatz 1a vom Bundesministerium für Verkehr nicht anerkannt, können auf diesem Flugplatz auf Antrag und zu Lasten des Flugplatzunternehmers, oder wenn auf andere Weise die volle Deckung der Kosten ohne Inanspruchnahme des Bundes sichergestellt ist, Flugsicherungsdienste und flugsicherungstechnische Einrichtungen im erforderlichen Umfang vorgehalten werden. Dies gilt jedoch nur, wenn die örtlichen Voraussetzungen erfüllt und andere Belange der Flugsicherung nicht beeinträchtigt werden. Über den Antrag entscheidet das Bundesministerium für Verkehr. Absatz 2 ist anzuwenden.</w:t>
      </w:r>
    </w:p>
    <w:p>
      <w:r>
        <w:rPr>
          <w:color w:val="555555"/>
          <w:sz w:val="17"/>
        </w:rPr>
        <w:t xml:space="preserve">Zitiervorschlag: § 27d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