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Die Beförderung von Stoffen und Gegenständen, die durch Rechtsverordnung als gefährliche Güter bestimmt sind, insbesondere Giftgase, Kernbrennstoffe und andere radioaktive Stoffe, mit Luftfahrzeugen bedarf der Erlaubnis. Die Erlaubnis kann allgemein oder im Einzelfall erteilt werden; sie kann mit Nebenbestimmungen verbunden werden. Im Übrigen bleiben die für die Beförderung von Giftgasen, Kernbrennstoffen oder anderen radioaktiven Stoffen geltenden Vorschriften unberührt.</w:t>
      </w:r>
    </w:p>
    <w:p>
      <w:r>
        <w:t xml:space="preserve">(2) Das Mitführen im Handgepäck oder Ansichtragen von Stoffen und Gegenständen nach Absatz 1 Satz 1 in Luftfahrzeugen bedarf der Erlaubnis. Absatz 1 Satz 2 gilt entsprechend. Eine Erlaubnis in Bezug auf Kernbrennstoffe darf nicht erteilt werden.</w:t>
      </w:r>
    </w:p>
    <w:p>
      <w:r>
        <w:t xml:space="preserve">(3) Der Betrieb von elektronischen Geräten, die nicht als Luftfahrtgerät zugelassen sind und Störungen der Bordelektronik verursachen können, ist in Luftfahrzeugen nicht zulässig. Ausnahmen können durch Rechtsverordnung nach § 32 Abs. 1 Nr. 7a zugelassen werden, wenn und soweit für den Betrieb von elektronischen Geräten ein besonderes Bedürfnis besteht und dies mit dem Schutz der Sicherheit des Luftverkehrs vereinbar ist; in der Rechtsverordnung kann auch bestimmt werden, dass der verantwortliche Luftfahrzeugführer oder der Luftfahrzeughalter allgemein oder für den Einzelfall Ausnahmen zulassen kann.</w:t>
      </w:r>
    </w:p>
    <w:p>
      <w:r>
        <w:t xml:space="preserve">(4) § 11 Abs. 1 und 2 des Luftsicherheitsgesetzes bleibt unberührt.</w:t>
      </w:r>
    </w:p>
    <w:p>
      <w:r>
        <w:rPr>
          <w:color w:val="555555"/>
          <w:sz w:val="17"/>
        </w:rPr>
        <w:t xml:space="preserve">Zitiervorschlag: § 27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