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26a LuftVG</w:t>
      </w:r>
    </w:p>
    <w:p>
      <w:r>
        <w:rPr>
          <w:color w:val="555555"/>
          <w:sz w:val="18"/>
        </w:rPr>
        <w:t xml:space="preserve">Luftverkehrsgesetz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(1) Bei tatsächlichen Anhaltspunkten für eine erhebliche Gefährdung der Betriebssicherheit von Luftfahrzeugen kann das Bundesministerium für Verkehr für in § 1a Absatz 1 genannte Luftfahrzeuge auch außerhalb des Hoheitsgebiets der Bundesrepublik Deutschland für alle oder bestimmte Beförderungsarten ein Überflug-, Start- oder Landeverbot verhängen, soweit keine völkerrechtlichen Verpflichtungen der Bundesrepublik Deutschland entgegenstehen.</w:t>
      </w:r>
    </w:p>
    <w:p>
      <w:r>
        <w:t xml:space="preserve">(2) Das Verbot ist auf das erforderliche Maß zu beschränken, zeitlich zu befristen und kann bei Fortbestehen der Gefährdungslage nach Absatz 1 Satz 1 im erforderlichen Umfang, auch mehrfach, verlängert werden. Eine Kombination mehrerer Maßnahmen nach Absatz 1 Satz 1 ist möglich.</w:t>
      </w:r>
    </w:p>
    <w:p>
      <w:r>
        <w:t xml:space="preserve">(3) Die Anfechtungsklage gegen die Anordnung nach Absatz 1 hat keine aufschiebende Wirkung.</w:t>
      </w:r>
    </w:p>
    <w:p>
      <w:r>
        <w:t xml:space="preserve">(4) Verfügungen nach Absatz 1 werden auf der Internetseite des Bundesministerium für Verkehr veröffentlicht und als „Notice to Airmen (NOTAM)“ bekannt gemacht.</w:t>
      </w:r>
    </w:p>
    <w:p>
      <w:r>
        <w:rPr>
          <w:color w:val="555555"/>
          <w:sz w:val="17"/>
        </w:rPr>
        <w:t xml:space="preserve">Zitiervorschlag: § 26a LuftVG</w:t>
      </w:r>
    </w:p>
    <w:p>
      <w:r>
        <w:rPr>
          <w:color w:val="555555"/>
          <w:sz w:val="17"/>
        </w:rPr>
        <w:t xml:space="preserve">Quelle: Bundesamt für Justiz, abgerufen 30.07.2026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https://recht.nulegal.eu/gesetze/LuftVG/26a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