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26 LuftVG</w:t>
      </w:r>
    </w:p>
    <w:p>
      <w:r>
        <w:rPr>
          <w:color w:val="555555"/>
          <w:sz w:val="18"/>
        </w:rPr>
        <w:t xml:space="preserve">Luftverkehrsgesetz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Bestimmte Lufträume können vorübergehend oder dauernd für den Luftverkehr gesperrt werden (Luftsperrgebiete).</w:t>
      </w:r>
    </w:p>
    <w:p>
      <w:r>
        <w:t xml:space="preserve">(2) In bestimmten Lufträumen kann der Durchflug von Luftfahrzeugen besonderen Beschränkungen unterworfen werden (Gebiete mit Flugbeschränkungen).</w:t>
      </w:r>
    </w:p>
    <w:p>
      <w:r>
        <w:rPr>
          <w:color w:val="555555"/>
          <w:sz w:val="17"/>
        </w:rPr>
        <w:t xml:space="preserve">Zitiervorschlag: § 26 LuftVG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https://recht.nulegal.eu/gesetze/LuftVG/26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