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Öffentliche Veranstaltungen von Wettbewerben oder Schauvorstellungen, an denen Luftfahrzeuge beteiligt sind (Luftfahrtveranstaltungen), bedürfen der Genehmigung. Die Genehmigung kann mit Auflagen verbunden und befristet werden.</w:t>
      </w:r>
    </w:p>
    <w:p>
      <w:r>
        <w:t xml:space="preserve">(2) Die Genehmigung ist zu versagen, wenn Tatsachen die Annahme rechtfertigen, dass die öffentliche Sicherheit oder Ordnung durch die Veranstaltung gefährdet werden kann.</w:t>
      </w:r>
    </w:p>
    <w:p>
      <w:r>
        <w:rPr>
          <w:color w:val="555555"/>
          <w:sz w:val="17"/>
        </w:rPr>
        <w:t xml:space="preserve">Zitiervorschlag: § 24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