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23c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Zur Umsetzung von</w:t>
      </w:r>
    </w:p>
    <w:p>
      <w:pPr>
        <w:ind w:left="420"/>
      </w:pPr>
      <w:r>
        <w:t xml:space="preserve">1. Beschlüssen des Rates der Europäischen Union über restriktive Maßnahmen zur Beschränkung des Luftverkehrs nach Artikel 29 des Vertrages über die Europäische Union,</w:t>
      </w:r>
    </w:p>
    <w:p>
      <w:pPr>
        <w:ind w:left="420"/>
      </w:pPr>
      <w:r>
        <w:t xml:space="preserve">2. Resolutionen des Sicherheitsrates der Vereinten Nationen,</w:t>
      </w:r>
    </w:p>
    <w:p>
      <w:pPr>
        <w:ind w:left="420"/>
      </w:pPr>
      <w:r>
        <w:t xml:space="preserve">3. zwischenstaatlichen Vereinbarungen, denen die gesetzgebenden Körperschaften in der Form eines Bundesgesetzes zugestimmt haben,</w:t>
      </w:r>
    </w:p>
    <w:p>
      <w:r>
        <w:t xml:space="preserve">ist die Genehmigungsbehörde befugt, für Luftfahrtunternehmen, die ihren Hauptsitz außerhalb der Europäischen Union haben, über die Vorschriften der §§ 20 bis 23 hinaus Beschränkungen festzusetzen. Hierzu gehören insbesondere der Widerruf der nach § 21a erteilten Flugliniengenehmigung und der Einflugerlaubnis nach § 2 Absatz 7 sowie die Untersagung der Anwendung von Flugplänen, Beförderungsentgelten und Beförderungsbedingungen nach § 21 Absatz 2 Satz 2.</w:t>
      </w:r>
    </w:p>
    <w:p>
      <w:r>
        <w:rPr>
          <w:color w:val="555555"/>
          <w:sz w:val="17"/>
        </w:rPr>
        <w:t xml:space="preserve">Zitiervorschlag: § 23c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