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(1) Luftfahrtunternehmen, die Personen oder Sachen gewerbsmäßig durch Luftfahrzeuge auf bestimmten Linien öffentlich und regelmäßig befördern (Fluglinienverkehr), bedürfen dafür einer besonderen Genehmigung (Flugliniengenehmigung). Die Flugliniengenehmigung soll die Bedingungen berücksichtigen, die in den Vereinbarungen zwischen der Bundesrepublik Deutschland und anderen Staaten, in die der Linienverkehr durchgeführt wird, festgelegt sind. § 20 Abs. 2 Satz 1 und Abs. 3 findet entsprechende Anwendung. Die Flugliniengenehmigung kann versagt werden, wenn durch den beantragten Fluglinienverkehr öffentliche Interessen beeinträchtigt werden.</w:t>
      </w:r>
    </w:p>
    <w:p>
      <w:r>
        <w:t xml:space="preserve">(2) Flugpläne, Beförderungsentgelte und Beförderungsbedingungen sind der Öffentlichkeit zugänglich zu machen und der zuständigen Behörde auf Verlangen vorzulegen. Die Anwendung von Flugplänen, Beförderungsentgelten und Beförderungsbedingungen kann ganz oder teilweise untersagt werden, wenn dadurch die öffentlichen Verkehrsinteressen nachhaltig beeinträchtigt werden. Luftfahrtunternehmen, die Linienverkehr betreiben, sind außer im Falle der Unzumutbarkeit jedermann gegenüber verpflichtet, Beförderungsverträge abzuschließen und ihn im Rahmen des veröffentlichten Flugplanes zu befördern. Den Beförderungsverträgen sind die veröffentlichten Beförderungsentgelte und Beförderungsbedingungen zu Grunde zu legen, soweit sie nicht nach Satz 2 ganz oder teilweise untersagt sind. Im Übrigen werden Beförderungsentgelte und Beförderungsbedingungen von den Parteien des Beförderungsvertrages frei vereinbart. Von den der Öffentlichkeit bekannt gemachten Beförderungsentgelten und Beförderungsbedingungen kann zugunsten der Vertragspartner der Luftfahrtunternehmen abgewichen werden.</w:t>
      </w:r>
    </w:p>
    <w:p>
      <w:r>
        <w:t xml:space="preserve">(3) Beförderungsverpflichtungen auf Grund anderweitiger gesetzlicher Vorschriften bleiben unberührt.</w:t>
      </w:r>
    </w:p>
    <w:p>
      <w:r>
        <w:t xml:space="preserve">(4) (weggefallen)</w:t>
      </w:r>
    </w:p>
    <w:p>
      <w:r>
        <w:rPr>
          <w:color w:val="555555"/>
          <w:sz w:val="17"/>
        </w:rPr>
        <w:t xml:space="preserve">Zitiervorschlag: § 21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