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1b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Wird ein Luftfahrzeug im Sinne des § 1a Abs. 1 außerhalb des Geltungsbereichs dieses Gesetzes betrieben, so sind international verbindliche Luftverkehrsregeln und Betriebsvorschriften im Sinne des Artikels 37 Abs. 2 Buchstabe c und des Artikels 38 des Abkommens vom 7. Dezember 1944 über die Internationale Zivilluftfahrt (BGBl. 1956 II S. 411) zu beachten und zu befolgen, soweit sie dort gelten.</w:t>
      </w:r>
    </w:p>
    <w:p>
      <w:r>
        <w:t xml:space="preserve">(2) Bekannt gewordene und im Ausland nicht geahndete Verstöße werden von den zuständigen Behörden in der Bundesrepublik Deutschland verfolgt und geahndet, als ob sie im Inland begangen worden wären. Die Ahndung erfolgt entsprechend der Umsetzung der in Absatz 1 genannten Regeln und Vorschriften durch deutsches Recht.</w:t>
      </w:r>
    </w:p>
    <w:p>
      <w:r>
        <w:rPr>
          <w:color w:val="555555"/>
          <w:sz w:val="17"/>
        </w:rPr>
        <w:t xml:space="preserve">Zitiervorschlag: § 1b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