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LuftVG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dieses Gesetzes und die zur Durchführung dieses Gesetzes erlassenen Rechtsvorschriften sind beim Betrieb</w:t>
      </w:r>
    </w:p>
    <w:p>
      <w:pPr>
        <w:ind w:left="420"/>
      </w:pPr>
      <w:r>
        <w:t xml:space="preserve">1. eines in der deutschen Luftfahrzeugrolle eingetragenen Luftfahrzeugs oder</w:t>
      </w:r>
    </w:p>
    <w:p>
      <w:pPr>
        <w:ind w:left="420"/>
      </w:pPr>
      <w:r>
        <w:t xml:space="preserve">2. eines anderen Luftfahrzeugs, für das die Bundesrepublik Deutschland die Verantwortung des Eintragungsstaats übernommen hat, oder</w:t>
      </w:r>
    </w:p>
    <w:p>
      <w:pPr>
        <w:ind w:left="420"/>
      </w:pPr>
      <w:r>
        <w:t xml:space="preserve">3. eines Luftfahrzeugs, welches in einem anderen Land registriert ist, aber unter einer deutschen Genehmigung nach § 20 oder nach Maßgabe des Rechts der Europäischen Union eingesetzt wird,</w:t>
      </w:r>
    </w:p>
    <w:p>
      <w:r>
        <w:t xml:space="preserve">auch außerhalb des Hoheitsgebietes der Bundesrepublik Deutschland anzuwenden, soweit ihr materieller Inhalt dem nicht erkennbar entgegensteht oder nach völkerrechtlichen Grundsätzen die Befolgung ausländischer Rechtsvorschriften vorgeht.</w:t>
      </w:r>
    </w:p>
    <w:p>
      <w:r>
        <w:t xml:space="preserve">(2) Soweit ausländisches Recht in Übereinstimmung mit völkerrechtlichen Grundsätzen extraterritoriale Wirkung beansprucht und sich auf Gegenstände bezieht, die von den Vorschriften nach § 1 Abs. 1 geregelt sind oder in einer sonstigen Beziehung zur Luftfahrt stehen, findet es im Hoheitsgebiet der Bundesrepublik Deutschland nur insoweit Anwendung, als es deutschem Recht nicht entgegensteht.</w:t>
      </w:r>
    </w:p>
    <w:p>
      <w:r>
        <w:rPr>
          <w:color w:val="555555"/>
          <w:sz w:val="17"/>
        </w:rPr>
        <w:t xml:space="preserve">Zitiervorschlag: § 1a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