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19b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Der Unternehmer eines Verkehrsflughafens oder Verkehrslandeplatzes trifft eine Regelung über die zu entrichtenden Entgelte für die Nutzung der Einrichtungen und Dienstleistungen, die mit der Beleuchtung, dem Starten, Landen und Abstellen von Luftfahrzeugen sowie mit der Abfertigung von Fluggästen und Fracht in Zusammenhang stehen (Entgeltordnung). Die Entgeltordnung ist der Genehmigungsbehörde zur Genehmigung vorzulegen. Die Genehmigung wird erteilt, wenn die Entgelte in der Entgeltordnung nach geeigneten, objektiven, transparenten und diskriminierungsfreien Kriterien geregelt sind. Insbesondere ist zu gewährleisten, dass</w:t>
      </w:r>
    </w:p>
    <w:p>
      <w:pPr>
        <w:ind w:left="420"/>
      </w:pPr>
      <w:r>
        <w:t xml:space="preserve">1. die zu entgeltenden Dienstleistungen und Infrastrukturen klar bestimmt sind,</w:t>
      </w:r>
    </w:p>
    <w:p>
      <w:pPr>
        <w:ind w:left="420"/>
      </w:pPr>
      <w:r>
        <w:t xml:space="preserve">2. die Berechnung der Entgelte kostenbezogen erfolgt und im Voraus festgelegt ist,</w:t>
      </w:r>
    </w:p>
    <w:p>
      <w:pPr>
        <w:ind w:left="420"/>
      </w:pPr>
      <w:r>
        <w:t xml:space="preserve">3. allen Flugplatznutzern in gleicher Weise Zugang zu den Dienstleistungen und Infrastrukturen des Verkehrsflughafens oder Verkehrslandeplatzes gewährt wird,</w:t>
      </w:r>
    </w:p>
    <w:p>
      <w:pPr>
        <w:ind w:left="420"/>
      </w:pPr>
      <w:r>
        <w:t xml:space="preserve">4. den Flugplatznutzern nicht ohne sachlichen Grund Entgelte in unterschiedlicher Höhe auferlegt werden.</w:t>
      </w:r>
    </w:p>
    <w:p>
      <w:r>
        <w:t xml:space="preserve">Eine Differenzierung der Entgelte zur Verfolgung von öffentlichen oder allgemeinen Interessen ist für Verkehrsflughäfen und -landeplätze zulässig; die hierfür herangezogenen Kriterien müssen geeignet, objektiv und transparent sein. In der Entgeltordnung von Verkehrsflughäfen ist eine Differenzierung der Entgelte nach Lärmschutzgesichtspunkten vorzunehmen; daneben soll eine Differenzierung nach Schadstoffemissionen erfolgen.</w:t>
      </w:r>
    </w:p>
    <w:p>
      <w:r>
        <w:t xml:space="preserve">(2) Abweichungen von den genehmigten Entgelten dürfen nicht vereinbart werden. Ist eine Entgeltvereinbarung wegen Verstoßes gegen Satz 1 unwirksam, gilt das jeweils genehmigte Entgelt als vereinbart. Das genehmigte Entgelt gilt als billiges Entgelt im Sinne des § 315 des Bürgerlichen Gesetzbuches.</w:t>
      </w:r>
    </w:p>
    <w:p>
      <w:r>
        <w:t xml:space="preserve">(3) Die zuständige Genehmigungsbehörde kann dem Unternehmer eines Verkehrsflughafens oder eines Verkehrslandeplatzes die Erhebung von nach Absatz 1 nicht genehmigten Entgelten untersagen.</w:t>
      </w:r>
    </w:p>
    <w:p>
      <w:r>
        <w:t xml:space="preserve">(4) Die Genehmigung der Entgeltordnung ist den Flugplatznutzern, soweit sie der zuständigen Behörde bekannt sind, bekannt zu geben oder öffentlich bekannt zu machen. § 41 Absatz 4 des Verwaltungsverfahrensgesetzes gilt entsprechend. Es bedarf keiner Nachprüfung im Vorverfahren. Die Anfechtungsklage gegen die Genehmigungsentscheidung hat keine aufschiebende Wirkung. In der Rechtsbehelfsbelehrung ist darauf hinzuweisen, dass der Antrag auf Anordnung der aufschiebenden Wirkung der Anfechtungsklage gegen die Genehmigungsentscheidung nach § 80 Absatz 5 Satz 1 der Verwaltungsgerichtsordnung nur innerhalb eines Monats nach Bekanntgabe der Genehmigung gestellt und begründet werden kann; § 58 der Verwaltungsgerichtsordnung gilt entsprechend. Treten später Tatsachen ein, die die Anordnung der aufschiebenden Wirkung rechtfertigen, so kann der durch die Genehmigung Beschwerte einen hierauf gestützten Antrag nach § 80 Absatz 5 Satz 1 der Verwaltungsgerichtsordnung innerhalb von einem Monat stellen. Die Frist beginnt in dem Zeitpunkt, in dem der Beschwerte von den Tatsachen Kenntnis erlangt.</w:t>
      </w:r>
    </w:p>
    <w:p>
      <w:r>
        <w:t xml:space="preserve">(5) Absatz 1 gilt nicht für</w:t>
      </w:r>
    </w:p>
    <w:p>
      <w:pPr>
        <w:ind w:left="420"/>
      </w:pPr>
      <w:r>
        <w:t xml:space="preserve">1. Gebühren zur Abgeltung von Flugsicherungsdiensten nach der Verordnung (EG) Nr. 1794/2006 der Kommission vom 6. Dezember 2006 zur Einführung einer gemeinsamen Gebührenregelung für Flugsicherungsdienste (ABl. L 341 vom 7.12.2006, S. 3),</w:t>
      </w:r>
    </w:p>
    <w:p>
      <w:pPr>
        <w:ind w:left="420"/>
      </w:pPr>
      <w:r>
        <w:t xml:space="preserve">2. Entgelte zur Abgeltung für Bodenabfertigungsdienste nach den §§ 6 und 9 sowie nach Anlage 1 der Bodenabfertigungsdienst-Verordnung vom 10. Dezember 1997 (BGBl. I S. 2885), die zuletzt durch Artikel 1 der Verordnung vom 10. Mai 2011 (BGBl. I S. 820) geändert worden ist,</w:t>
      </w:r>
    </w:p>
    <w:p>
      <w:pPr>
        <w:ind w:left="420"/>
      </w:pPr>
      <w:r>
        <w:t xml:space="preserve">3. Umlagen zur Finanzierung der Hilfestellungen für behinderte Flugreisende und Flugreisende mit eingeschränkter Mobilität nach der Verordnung (EG) Nr. 1107/2006 des Europäischen Parlaments und des Rates vom 5. Juli 2006 über die Rechte von behinderten Flugreisenden und Flugreisenden mit eingeschränkter Mobilität (ABl. L 204 vom 26.7.2006, S. 1).</w:t>
      </w:r>
    </w:p>
    <w:p>
      <w:r>
        <w:t xml:space="preserve">(6) Unbeschadet des Absatzes 1 gilt für die Genehmigung der Entgeltordnung von Verkehrsflughäfen, die jährlich mehr als fünf Millionen Fluggastbewegungen aufweisen, Folgendes:</w:t>
      </w:r>
    </w:p>
    <w:p>
      <w:pPr>
        <w:ind w:left="420"/>
      </w:pPr>
      <w:r>
        <w:t xml:space="preserve">1. Der Unternehmer eines Verkehrsflughafens legt den Flughafennutzern spätestens sechs Monate vor dem beabsichtigten Inkrafttreten der Entgeltordnung einen Entwurf mit einer Begründung zum Zwecke der Einigung vor. Gleiches gilt für Änderungen der Entgeltordnung. Die Frist nach Satz 1 gilt nicht, wenn außergewöhnliche Umstände vorliegen, die gegenüber den Flughafennutzern darzulegen sind.</w:t>
      </w:r>
    </w:p>
    <w:p>
      <w:pPr>
        <w:ind w:left="420"/>
      </w:pPr>
      <w:r>
        <w:t xml:space="preserve">2. Der Antrag auf Genehmigung ist bis spätestens fünf Monate vor dem Inkrafttreten der beabsichtigten Entgeltordnung bei der Genehmigungsbehörde zu stellen. Er ist zu begründen. Auf abweichende Ansichten der Flughafennutzer ist einzugehen. Die in den Nummern 6 und 7 aufgeführten Informationen sind beizufügen.</w:t>
      </w:r>
    </w:p>
    <w:p>
      <w:pPr>
        <w:ind w:left="420"/>
      </w:pPr>
      <w:r>
        <w:t xml:space="preserve">3. Die Genehmigung ist zu erteilen, wenn zwischen der Höhe der vom Unternehmer des Verkehrsflughafens festgelegten Entgelte und der Höhe der voraussichtlich tatsächlichen Kosten ein angemessenes Verhältnis besteht und die Orientierung an einer effizienten Leistungserstellung erkennbar ist. Die Genehmigungsbehörde kann von der Prüfung nach Satz 1 absehen, wenn von dem Unternehmer des Verkehrsflughafens eine schriftliche Einigung mit den Flughafennutzern über die Entgeltordnung vorgelegt wird und kein Verstoß gegen das Beihilfenrecht vorliegt.</w:t>
      </w:r>
    </w:p>
    <w:p>
      <w:pPr>
        <w:ind w:left="420"/>
      </w:pPr>
      <w:r>
        <w:t xml:space="preserve">4. Die Entscheidung der Genehmigungsbehörde soll innerhalb von zwei Monaten nach Eingang des Antrags auf Genehmigung der Entgeltordnung ergehen. Die Genehmigungsentscheidung ist grundsätzlich spätestens zwei Monate vor ihrem Inkrafttreten in den Nachrichten für Luftfahrer zu veröffentlichen.</w:t>
      </w:r>
    </w:p>
    <w:p>
      <w:pPr>
        <w:ind w:left="420"/>
      </w:pPr>
      <w:r>
        <w:t xml:space="preserve">5. Der Unternehmer des Verkehrsflughafens führt mindestens einmal im Jahr eine Konsultation mit den Flughafennutzern bezüglich der Entgeltordnung durch. Der Termin ist den Flughafennutzern spätestens einen Monat im Voraus bekannt zu geben. Die Flughafennutzer können zur Konsultation ihre Verbände hinzuziehen oder Vertreter benennen.</w:t>
      </w:r>
    </w:p>
    <w:p>
      <w:pPr>
        <w:ind w:left="420"/>
      </w:pPr>
      <w:r>
        <w:t xml:space="preserve">6. Der Unternehmer des Verkehrsflughafens hat den Flughafennutzern rechtzeitig vor dem Konsultationstermin folgende Unterlagen und Informationen vorzulegen:</w:t>
      </w:r>
    </w:p>
    <w:p>
      <w:pPr>
        <w:ind w:left="780"/>
      </w:pPr>
      <w:r>
        <w:t xml:space="preserve">a) ein Verzeichnis der verschiedenen Dienstleistungen und Infrastrukturen, die im Gegenzug für das erhobene Flughafenentgelt bereitgestellt werden;</w:t>
      </w:r>
    </w:p>
    <w:p>
      <w:pPr>
        <w:ind w:left="780"/>
      </w:pPr>
      <w:r>
        <w:t xml:space="preserve">b) die für die Festsetzung der Flughafenentgelte verwendete Methode;</w:t>
      </w:r>
    </w:p>
    <w:p>
      <w:pPr>
        <w:ind w:left="780"/>
      </w:pPr>
      <w:r>
        <w:t xml:space="preserve">c) die Gesamtkostenstruktur hinsichtlich der Einrichtungen und Dienstleistungen, auf die sich die Flughafenentgelte beziehen. Diese sollte erkennen lassen, dass sich der Unternehmer eines Verkehrsflughafens an einer effizienten Leistungserstellung orientiert hat;</w:t>
      </w:r>
    </w:p>
    <w:p>
      <w:pPr>
        <w:ind w:left="780"/>
      </w:pPr>
      <w:r>
        <w:t xml:space="preserve">d) die Erlöse der verschiedenen Entgelte und Gesamtkosten der damit finanzierten Dienstleistungen;</w:t>
      </w:r>
    </w:p>
    <w:p>
      <w:pPr>
        <w:ind w:left="780"/>
      </w:pPr>
      <w:r>
        <w:t xml:space="preserve">e) jegliche Finanzierung von Einrichtungen und Dienstleistungen durch die öffentliche Hand, auf die sich die Flughafenentgelte beziehen;</w:t>
      </w:r>
    </w:p>
    <w:p>
      <w:pPr>
        <w:ind w:left="780"/>
      </w:pPr>
      <w:r>
        <w:t xml:space="preserve">f) die voraussichtliche Entwicklung der Entgelte und des Verkehrsaufkommens am Verkehrsflughafen sowie beabsichtigte Investitionen;</w:t>
      </w:r>
    </w:p>
    <w:p>
      <w:pPr>
        <w:ind w:left="780"/>
      </w:pPr>
      <w:r>
        <w:t xml:space="preserve">g) die tatsächliche Nutzung der Infrastruktur und der Gerätschaften des Verkehrsflughafens in einem bestimmten Zeitraum sowie</w:t>
      </w:r>
    </w:p>
    <w:p>
      <w:pPr>
        <w:ind w:left="780"/>
      </w:pPr>
      <w:r>
        <w:t xml:space="preserve">h) das absehbare Ergebnis geplanter größerer Investitionen hinsichtlich ihrer Auswirkungen auf die Flughafenkapazität. Als Investitionen kommen hierbei nur solche in Betracht, die dem unmittelbaren Ausbau des Verkehrsflughafens als verkehrliche Einrichtung dienen. Vorfinanzierungen sollen nur berücksichtigt werden, wenn Flughafennutzer von verbesserten oder kostengünstigeren Leistungen profitieren, die entsprechenden Entgeltanteile ausschließlich für die Finanzierung der geplanten Infrastrukturvorhaben verwendet werden und sie zeitlich begrenzt erhoben werden.</w:t>
      </w:r>
    </w:p>
    <w:p>
      <w:pPr>
        <w:ind w:left="420"/>
      </w:pPr>
      <w:r>
        <w:t xml:space="preserve">7. Die Flughafennutzer haben dem Unternehmer eines Verkehrsflughafens rechtzeitig vor dem Konsultationstermin insbesondere folgende Informationen zur Verfügung zu stellen:</w:t>
      </w:r>
    </w:p>
    <w:p>
      <w:pPr>
        <w:ind w:left="780"/>
      </w:pPr>
      <w:r>
        <w:t xml:space="preserve">a) voraussichtliches Verkehrsaufkommen,</w:t>
      </w:r>
    </w:p>
    <w:p>
      <w:pPr>
        <w:ind w:left="780"/>
      </w:pPr>
      <w:r>
        <w:t xml:space="preserve">b) voraussichtliche Zusammensetzung und beabsichtigter Einsatz ihrer Flotte,</w:t>
      </w:r>
    </w:p>
    <w:p>
      <w:pPr>
        <w:ind w:left="780"/>
      </w:pPr>
      <w:r>
        <w:t xml:space="preserve">c) geplante Ausweitung ihrer Tätigkeit auf dem betreffenden Flughafen und</w:t>
      </w:r>
    </w:p>
    <w:p>
      <w:pPr>
        <w:ind w:left="780"/>
      </w:pPr>
      <w:r>
        <w:t xml:space="preserve">d) Anforderungen an den betreffenden Flughafen.</w:t>
      </w:r>
    </w:p>
    <w:p>
      <w:pPr>
        <w:ind w:left="420"/>
      </w:pPr>
      <w:r>
        <w:t xml:space="preserve">8. Die im Rahmen der Konsultation übermittelten oder erhaltenen Informationen sind als vertraulich oder wirtschaftlich schutzwürdig anzusehen und zu behandeln. Im Fall von börsennotierten Unternehmen sind insbesondere börsenrechtliche Vorgaben zu beachten. Bei der Übermittlung der Informationen an Verbände und benannte Vertreter stellen die Flughafennutzer sicher, dass die Vertraulichkeit gewahrt wird.</w:t>
      </w:r>
    </w:p>
    <w:p>
      <w:pPr>
        <w:ind w:left="420"/>
      </w:pPr>
      <w:r>
        <w:t xml:space="preserve">9. Dem Unternehmer eines Verkehrsflughafens ist freigestellt, ob und inwieweit er Erlöse und Kosten aus den sonstigen kommerziellen Tätigkeiten des Flughafens bei der Festlegung der Entgelte berücksichtigt.</w:t>
      </w:r>
    </w:p>
    <w:p>
      <w:r>
        <w:t xml:space="preserve">(7) Ein Flughafenunternehmen nach Absatz 6, das in einem Ballungsgebiet mehr als einen Verkehrsflughafen betreibt, kann mit Zustimmung der Genehmigungsbehörde eine für alle Verkehrsflughäfen geltende Entgeltordnung erlassen.</w:t>
      </w:r>
    </w:p>
    <w:p>
      <w:r>
        <w:t xml:space="preserve">(8) Um einen reibungslosen und effizienten Betrieb auf einem Flughafen sicherzustellen, können die Unternehmer von Verkehrsflughäfen nach Absatz 6 und die Flughafennutzer Leistungsvereinbarungen bezüglich der Qualität der am Flughafen zu erbringenden Dienstleistungen abschließen. Dabei sind die Entgeltordnung sowie Art und Umfang der Dienstleistungen, auf die die Flughafennutzer im Gegenzug für die Zahlung von Flughafenentgelten Anrecht haben, zu berücksichtigen.</w:t>
      </w:r>
    </w:p>
    <w:p>
      <w:r>
        <w:rPr>
          <w:color w:val="555555"/>
          <w:sz w:val="17"/>
        </w:rPr>
        <w:t xml:space="preserve">Zitiervorschlag: § 19b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