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18b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Bauwerke dürfen in den Bereichen, die für die Einrichtung und Überwachung von Verfahren für Flüge nach Instrumentenflugregeln aus Gründen der Hindernisfreiheit zu bewerten sind, nur errichtet werden, wenn die zuständige Luftfahrtbehörde zuvor über das Vorhaben informiert wurde.</w:t>
      </w:r>
    </w:p>
    <w:p>
      <w:r>
        <w:t xml:space="preserve">(2) Das Bundesaufsichtsamt für Flugsicherung unterrichtet die zuständigen Luftfahrtbehörden der Länder über die Bereiche, die für die Einrichtung und Überwachung von Verfahren für Flüge nach Instrumentenflugregeln aus Gründen der Hindernisfreiheit zu bewerten sind. Die zuständigen Luftfahrtbehörden der Länder unterrichten das Bundesaufsichtsamt für Flugsicherung über Bauwerke, welche in diesem Bereich errichtet werden sollen.</w:t>
      </w:r>
    </w:p>
    <w:p>
      <w:r>
        <w:t xml:space="preserve">(3) Die Absätze 1 und 2 gelten sinngemäß für die nach § 15 Abs. 1 Satz 1 genannten Gegenstände. § 30 Abs. 2 Satz 1, 2 und 4 bleibt unberührt.</w:t>
      </w:r>
    </w:p>
    <w:p>
      <w:r>
        <w:rPr>
          <w:color w:val="555555"/>
          <w:sz w:val="17"/>
        </w:rPr>
        <w:t xml:space="preserve">Zitiervorschlag: § 18b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