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LuftVG</w:t>
      </w:r>
    </w:p>
    <w:p>
      <w:r>
        <w:rPr>
          <w:color w:val="555555"/>
          <w:sz w:val="18"/>
        </w:rPr>
        <w:t xml:space="preserve">Luftverkehrsgesetz</w:t>
      </w:r>
    </w:p>
    <w:p>
      <w:r>
        <w:rPr>
          <w:color w:val="555555"/>
          <w:sz w:val="18"/>
        </w:rPr>
        <w:t xml:space="preserve">Stand: 10.06.2019 (konsolidierte Textfassung, kein amtliches Inkrafttretensdatum)</w:t>
      </w:r>
    </w:p>
    <w:p>
      <w:r>
        <w:t xml:space="preserve">Der Umfang des Bauschutzbereichs ist den Eigentümern von Grundstücken im Bauschutzbereich und den anderen zum Gebrauch oder zur Nutzung dieser Grundstücke Berechtigten sowie den dinglich Berechtigten, soweit sie der zuständigen Behörde bekannt oder aus dem Grundbuch ersichtlich sind, bekannt zu geben oder in ortsüblicher Weise öffentlich bekannt zu machen.</w:t>
      </w:r>
    </w:p>
    <w:p>
      <w:r>
        <w:rPr>
          <w:color w:val="555555"/>
          <w:sz w:val="17"/>
        </w:rPr>
        <w:t xml:space="preserve">Zitiervorschlag: § 18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