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LuftVG</w:t>
      </w:r>
    </w:p>
    <w:p>
      <w:r>
        <w:rPr>
          <w:color w:val="555555"/>
          <w:sz w:val="18"/>
        </w:rPr>
        <w:t xml:space="preserve">Luftverkehrsgesetz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Die Luftfahrtbehörden können bei der Genehmigung von Landeplätzen und Segelfluggeländen bestimmen, dass die zur Erteilung einer Baugenehmigung zuständige Behörde nur mit Zustimmung der Luftfahrtbehörde genehmigen darf (beschränkter Bauschutzbereich)</w:t>
      </w:r>
    </w:p>
    <w:p>
      <w:pPr>
        <w:ind w:left="420"/>
      </w:pPr>
      <w:r>
        <w:t xml:space="preserve">1. die Errichtung von Bauwerken jeder Höhe im Umkreis von 1,5 Kilometern Halbmesser um den dem Flugplatzbezugspunkt entsprechenden Punkt,</w:t>
      </w:r>
    </w:p>
    <w:p>
      <w:pPr>
        <w:ind w:left="420"/>
      </w:pPr>
      <w:r>
        <w:t xml:space="preserve">2. die Errichtung von Bauwerken, die eine Höhe von 25 Meter, bezogen auf den dem Flughafenbezugspunkt entsprechenden Punkt, überschreiten im Umkreis von 4 Kilometern Halbmesser um den Flugplatzbezugspunkt.</w:t>
      </w:r>
    </w:p>
    <w:p>
      <w:r>
        <w:t xml:space="preserve">Auf den beschränkten Bauschutzbereich sind § 12 Absatz 2 Satz 2 bis 6 und Absatz 4 sowie die §§ 13, 15 und 16 sinngemäß anzuwenden.</w:t>
      </w:r>
    </w:p>
    <w:p>
      <w:r>
        <w:rPr>
          <w:color w:val="555555"/>
          <w:sz w:val="17"/>
        </w:rPr>
        <w:t xml:space="preserve">Zitiervorschlag: § 17 LuftVG</w:t>
      </w:r>
    </w:p>
    <w:p>
      <w:r>
        <w:rPr>
          <w:color w:val="555555"/>
          <w:sz w:val="17"/>
        </w:rPr>
        <w:t xml:space="preserve">Quelle: Bundesamt für Justiz, abgerufen 30.07.2026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