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LuftVG</w:t>
      </w:r>
    </w:p>
    <w:p>
      <w:r>
        <w:rPr>
          <w:color w:val="555555"/>
          <w:sz w:val="18"/>
        </w:rPr>
        <w:t xml:space="preserve">Luftverkehrsgesetz</w:t>
      </w:r>
    </w:p>
    <w:p>
      <w:r>
        <w:rPr>
          <w:color w:val="555555"/>
          <w:sz w:val="18"/>
        </w:rPr>
        <w:t xml:space="preserve">Stand: 10.06.2019 (konsolidierte Textfassung, kein amtliches Inkrafttretensdatum)</w:t>
      </w:r>
    </w:p>
    <w:p>
      <w:r>
        <w:t xml:space="preserve">(1) Die Eigentümer und anderen Berechtigten haben auf Verlangen der Luftfahrtbehörden zu dulden, dass Bauwerke und andere Luftfahrthindernisse (§ 15), welche die nach den §§ 12 bis 15 zulässige Höhe überragen, auf diese Höhe abgetragen werden. Im Falle des § 15 Abs. 1 Satz 2 erstreckt sich die Verpflichtung zur Duldung auf die Beseitigung der Vertiefungen. Ist die Abtragung oder Beseitigung der Luftfahrthindernisse im Einzelfall nicht durchführbar, so sind die erforderlichen Sicherungsmaßnahmen für die Luftfahrt zu dulden.</w:t>
      </w:r>
    </w:p>
    <w:p>
      <w:r>
        <w:t xml:space="preserve">(2) Das Recht des Eigentümers oder eines anderen Berechtigten und eine nach anderen Vorschriften bestehende Verpflichtung, diese Maßnahmen auf eigene Kosten selbst durchzuführen, bleiben unberührt.</w:t>
      </w:r>
    </w:p>
    <w:p>
      <w:r>
        <w:rPr>
          <w:color w:val="555555"/>
          <w:sz w:val="17"/>
        </w:rPr>
        <w:t xml:space="preserve">Zitiervorschlag: § 16 LuftVG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