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 12 bis 14 gelten sinngemäß für Bäume, Freileitungen, Masten, Dämme sowie für andere Anlagen und Geräte. § 12 Abs. 2 ist auf Gruben, Anlagen der Kanalisation und ähnliche Bodenvertiefungen sinngemäß anzuwenden.</w:t>
      </w:r>
    </w:p>
    <w:p>
      <w:r>
        <w:t xml:space="preserve">(2) Die Errichtung der in Absatz 1 genannten Luftfahrthindernisse bedarf der Genehmigung. Falls die Genehmigung von einer anderen als der Baugenehmigungsbehörde erteilt wird, bedarf diese der Zustimmung der Luftfahrtbehörde. Ist eine andere Genehmigungsbehörde nicht vorgesehen, so ist die Genehmigung der Luftfahrtbehörde erforderlich.</w:t>
      </w:r>
    </w:p>
    <w:p>
      <w:r>
        <w:rPr>
          <w:color w:val="555555"/>
          <w:sz w:val="17"/>
        </w:rPr>
        <w:t xml:space="preserve">Zitiervorschlag: § 15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