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10b LuftVG — Planfeststellungsverfahren bei Vorhaben im transeuropäischen Verkehrsnetz</w:t>
      </w:r>
    </w:p>
    <w:p>
      <w:r>
        <w:rPr>
          <w:color w:val="555555"/>
          <w:sz w:val="18"/>
        </w:rPr>
        <w:t xml:space="preserve">Luftverkehrsgesetz</w:t>
      </w:r>
    </w:p>
    <w:p>
      <w:r>
        <w:rPr>
          <w:color w:val="555555"/>
          <w:sz w:val="18"/>
        </w:rPr>
        <w:t xml:space="preserve">Stand: 30.07.2026 (konsolidierte Textfassung, kein amtliches Inkrafttretensdatum)</w:t>
      </w:r>
    </w:p>
    <w:p>
      <w:r>
        <w:t xml:space="preserve">(1) Wird ein Planfeststellungsverfahren oder ein Plangenehmigungsverfahren für ein Vorhaben der Anlage durchgeführt, dessen geschätzte Gesamtkosten zum Zeitpunkt der Einleitung des Planfeststellungsverfahrens oder des Plangenehmigungsverfahrens 300 000 000 Euro überschreiten, ist dieses innerhalb von vier Jahren abzuschließen. Die Frist beginnt mit dem Eingang des Plans nach § 73 Absatz 1 des Verwaltungsverfahrensgesetzes bei der Anhörungsbehörde und Planfeststellungsbehörde. Diese sowie alle am Planfeststellungsverfahren oder am Plangenehmigungsverfahren beteiligten Behörden des Bundes und der Länder sind bestrebt, den Planfeststellungsverfahren oder Plangenehmigungsverfahren nach Satz 1 Vorrang bei der Bearbeitung einzuräumen. Dabei ist das Beschleunigungsinteresse an anderen Vorhaben, die im überragenden öffentlichen Interesse stehen oder der öffentlichen Sicherheit dienen, zu beachten.</w:t>
      </w:r>
    </w:p>
    <w:p>
      <w:r>
        <w:t xml:space="preserve">(2) Die Planfeststellungsbehörde hat dem Vorhabenträger auf dessen Antrag Auskunft über sämtliche für die Erteilung des Planfeststellungsbeschlusses oder der Plangenehmigung beizubringende Informationen und Unterlagen zu erteilen, einschließlich aller Stellungnahmen, die für den Planfeststellungsbeschluss oder die Plangenehmigung eingeholt und vorgelegt werden müssen. Weist das Vorhaben nicht die erforderliche Reife auf, so ist der Antrag spätestens vier Monate nach seinem Eingang bei der zuständigen Behörde abzulehnen.</w:t>
      </w:r>
    </w:p>
    <w:p>
      <w:r>
        <w:t xml:space="preserve">(3) Auf Antrag der Planfeststellungsbehörde kann das Bundesministerium für Verkehr die Frist nach Absatz 1 Satz 1 verlängern. Im Antrag sind die Gründe für die Fristüberschreitung darzulegen. Eine weitere Verlängerung kann unter denselben Bedingungen einmal gewährt werden.</w:t>
      </w:r>
    </w:p>
    <w:p>
      <w:r>
        <w:t xml:space="preserve">(4) Die Absätze 1 bis 3 finden keine Anwendung auf Vorhaben, deren Plan vor dem 10. August 2023 bei der Anhörungsbehörde und Planfeststellungsbehörde eingereicht wurde.</w:t>
      </w:r>
    </w:p>
    <w:p>
      <w:r>
        <w:rPr>
          <w:color w:val="555555"/>
          <w:sz w:val="17"/>
        </w:rPr>
        <w:t xml:space="preserve">Zitiervorschlag: § 10b LuftVG</w:t>
      </w:r>
    </w:p>
    <w:p>
      <w:r>
        <w:rPr>
          <w:color w:val="555555"/>
          <w:sz w:val="17"/>
        </w:rPr>
        <w:t xml:space="preserve">Quelle: Bundesamt für Justiz, abgerufen 30.07.2026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https://recht.nulegal.eu/gesetze/LuftVG/10b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