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LuftVGÄndG</w:t>
      </w:r>
    </w:p>
    <w:p>
      <w:r>
        <w:rPr>
          <w:color w:val="555555"/>
          <w:sz w:val="18"/>
        </w:rPr>
        <w:t xml:space="preserve">Gesetz zur Änderung des Luftverkehrsgesetzes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einen Monat nach dem Tage seiner Verkündung in Kraft.</w:t>
      </w:r>
    </w:p>
    <w:p>
      <w:r>
        <w:rPr>
          <w:color w:val="555555"/>
          <w:sz w:val="17"/>
        </w:rPr>
        <w:t xml:space="preserve">Zitiervorschlag: Art 7 LuftVGÄndG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https://recht.nulegal.eu/gesetze/LuftVG%C3%84ndG/7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