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 Die Beschränkungen der Lufthoheit im Land Berlin bleiben unberührt.</w:t>
      </w:r>
    </w:p>
    <w:p>
      <w:r>
        <w:t xml:space="preserve">(2) Soweit in Artikel 1 Nr. 12 und 19 auf Vorschriften verwiesen wird, die im Land Berlin nicht gelten, treten bei Anwendung dieses Gesetzes in Berlin die dort geltenden entsprechenden Bestimmungen an deren Stelle.</w:t>
      </w:r>
    </w:p>
    <w:p>
      <w:r>
        <w:t xml:space="preserve">(3) Soweit Behörden angeführt sind, die im Land Berlin nicht bestehen, sind in Berlin die entsprechenden Berliner Behörden zuständig.</w:t>
      </w:r>
    </w:p>
    <w:p>
      <w:r>
        <w:rPr>
          <w:color w:val="555555"/>
          <w:sz w:val="17"/>
        </w:rPr>
        <w:t xml:space="preserve">Zitiervorschlag: Art 5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