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LuftVGÄndG 10</w:t>
      </w:r>
    </w:p>
    <w:p>
      <w:r>
        <w:rPr>
          <w:color w:val="555555"/>
          <w:sz w:val="18"/>
        </w:rPr>
        <w:t xml:space="preserve">Zehntes Gesetz zur Änderung des Luftverkehrsgesetzes</w:t>
      </w:r>
    </w:p>
    <w:p>
      <w:r>
        <w:rPr>
          <w:color w:val="555555"/>
          <w:sz w:val="18"/>
        </w:rPr>
        <w:t xml:space="preserve">Stand: 10.06.2019 (konsolidierte Textfassung, kein amtliches Inkrafttretensdatum)</w:t>
      </w:r>
    </w:p>
    <w:p>
      <w:r>
        <w:t xml:space="preserve">1.</w:t>
      </w:r>
    </w:p>
    <w:p>
      <w:pPr>
        <w:ind w:left="420"/>
      </w:pPr>
      <w:r>
        <w:t xml:space="preserve">2. Die bis zum Zeitpunkt des Inkrafttretens dieses Gesetzes von der Bundesanstalt für Flugsicherung und dem Luftfahrt-Bundesamt auf der Grundlage des § 32 Abs. 3 Satz 3 des Luftverkehrsgesetzes ohne Zustimmung des Bundesrates erlassenen Rechtsverordnungen werden rückwirkend auf den Tag ihres jeweiligen Inkrafttretens in Kraft gesetzt. Diese Rechtsverordnungen können auf Grund der einschlägigen Ermächtigungen durch Rechtsverordnung geändert werden.</w:t>
      </w:r>
    </w:p>
    <w:p>
      <w:r>
        <w:rPr>
          <w:color w:val="555555"/>
          <w:sz w:val="17"/>
        </w:rPr>
        <w:t xml:space="preserve">Zitiervorschlag: Art 3 LuftVGÄndG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https://recht.nulegal.eu/gesetze/LuftVG%C3%84ndG%2010/3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LuftVGÄndG 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