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LuftSiZÜV</w:t>
      </w:r>
    </w:p>
    <w:p>
      <w:r>
        <w:rPr>
          <w:color w:val="555555"/>
          <w:sz w:val="18"/>
        </w:rPr>
        <w:t xml:space="preserve">Luftsicherheits-Zuverlässigkeitsüberprüfungsverordnung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zum 31. Dezember 2008 ist § 3 Abs. 5 Satz 1 und § 5 Abs. 2 Satz 1 mit der Maßgabe anzuwenden, dass anstelle der Frist von fünf Jahren die Frist von zwei Jahren tritt.</w:t>
      </w:r>
    </w:p>
    <w:p>
      <w:r>
        <w:rPr>
          <w:color w:val="555555"/>
          <w:sz w:val="17"/>
        </w:rPr>
        <w:t xml:space="preserve">Zitiervorschlag: § 9 LuftSiZÜV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https://recht.nulegal.eu/gesetze/LuftSiZ%C3%9CV/9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