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LuftSiSchulV 2023</w:t>
      </w:r>
    </w:p>
    <w:p>
      <w:r>
        <w:rPr>
          <w:color w:val="555555"/>
          <w:sz w:val="18"/>
        </w:rPr>
        <w:t xml:space="preserve">Luftsicherheits-Schulungsverordnung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Auf Grund des § 17 Absatz 3 und 4 des Luftsicherheitsgesetzes, der durch Artikel 1 Nummer 19 Buchstabe c des Gesetzes vom 23. Februar 2017 (BGBl. I S. 298) eingefügt worden ist, in Verbindung mit § 1 Absatz 2 des Zuständigkeitsanpassungsgesetzes vom 16. August 2002 (BGBl. I S. 3165) und dem Organisationserlass vom 8. Dezember 2021 (BGBl. I S. 5176) verordnet das Bundesministerium des Innern und für Heimat im Einvernehmen mit dem Bundesministerium für Digitales und Verkehr:</w:t>
      </w:r>
    </w:p>
    <w:p>
      <w:r>
        <w:rPr>
          <w:color w:val="555555"/>
          <w:sz w:val="17"/>
        </w:rPr>
        <w:t xml:space="preserve">Zitiervorschlag: Eingangsformel LuftSiSchulV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https://recht.nulegal.eu/gesetze/LuftSiSchulV%202023/eingangsformel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