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LuftSiGebV</w:t>
      </w:r>
    </w:p>
    <w:p>
      <w:r>
        <w:rPr>
          <w:color w:val="555555"/>
          <w:sz w:val="18"/>
        </w:rPr>
        <w:t xml:space="preserve">Luftsicherheitsgebührenverordnung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17 Abs. 2 des Luftsicherheitsgesetzes vom 11. Januar 2005 (BGBl. I S. 78), der zuletzt durch Artikel 337 der Verordnung vom 31. Oktober 2006 (BGBl. I S. 2407) geändert worden ist, in Verbindung mit dem 2. Abschnitt des Verwaltungskostengesetzes vom 23. Juni 1970 (BGBl. I S. 821) verordnet das Bundesministerium des Innern im Einvernehmen mit dem Bundesministerium der Finanzen, dem Bundesministerium für Wirtschaft und Technologie und dem Bundesministerium für Verkehr, Bau und Stadtentwicklung:</w:t>
      </w:r>
    </w:p>
    <w:p>
      <w:r>
        <w:rPr>
          <w:color w:val="555555"/>
          <w:sz w:val="17"/>
        </w:rPr>
        <w:t xml:space="preserve">Zitiervorschlag: Eingangsformel LuftSiGebV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https://recht.nulegal.eu/gesetze/LuftSiGebV/eingangsformel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