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LuftSiGebV — Prüfungsgebühren</w:t>
      </w:r>
    </w:p>
    <w:p>
      <w:r>
        <w:rPr>
          <w:color w:val="555555"/>
          <w:sz w:val="18"/>
        </w:rPr>
        <w:t xml:space="preserve">Luftsicherheitsgebührenverordnung</w:t>
      </w:r>
    </w:p>
    <w:p>
      <w:r>
        <w:rPr>
          <w:color w:val="555555"/>
          <w:sz w:val="18"/>
        </w:rPr>
        <w:t xml:space="preserve">Stand: 24.02.2024 (konsolidierte Textfassung, kein amtliches Inkrafttretensdatum)</w:t>
      </w:r>
    </w:p>
    <w:p>
      <w:r>
        <w:t xml:space="preserve">Für individuell zurechenbare öffentliche Leistungen nach den Nummern 5 des Gebühren- und Auslagenverzeichnisses sind die Gebühren spätestens mit Abgabe der namentlichen Aufstellung der Prüfungsteilnehmer zu entrichten.</w:t>
      </w:r>
    </w:p>
    <w:p>
      <w:r>
        <w:rPr>
          <w:color w:val="555555"/>
          <w:sz w:val="17"/>
        </w:rPr>
        <w:t xml:space="preserve">Zitiervorschlag: § 4 LuftSiGebV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https://recht.nulegal.eu/gesetze/LuftSiGebV/4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