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LuftSiG — Sicherheitsmaßnahmen der Luftfahrtunternehmen</w:t>
      </w:r>
    </w:p>
    <w:p>
      <w:r>
        <w:rPr>
          <w:color w:val="555555"/>
          <w:sz w:val="18"/>
        </w:rPr>
        <w:t xml:space="preserve">Luftsicherheitsgesetz</w:t>
      </w:r>
    </w:p>
    <w:p>
      <w:r>
        <w:rPr>
          <w:color w:val="555555"/>
          <w:sz w:val="18"/>
        </w:rPr>
        <w:t xml:space="preserve">Stand: 10.06.2019 (konsolidierte Textfassung, kein amtliches Inkrafttretensdatum)</w:t>
      </w:r>
    </w:p>
    <w:p>
      <w:r>
        <w:t xml:space="preserve">(1) Ein Luftfahrtunternehmen ist zum Schutz vor Angriffen auf die Sicherheit des Luftverkehrs verpflichtet,</w:t>
      </w:r>
    </w:p>
    <w:p>
      <w:pPr>
        <w:ind w:left="420"/>
      </w:pPr>
      <w:r>
        <w:t xml:space="preserve">1. Sicherheitsmaßnahmen bei der Abfertigung von Fluggästen und der Behandlung von Post, Gepäck, Fracht und Versorgungsgütern durchzuführen; dies beinhaltet insbesondere auch die Sicherstellung der Durchführung der in den Kapiteln 7 und 8 des Anhangs der Durchführungsverordnung (EU) 2015/1998 genannten Maßnahmen in Bezug auf Post, Material und Bordvorräte von Luftfahrtunternehmen;</w:t>
      </w:r>
    </w:p>
    <w:p>
      <w:pPr>
        <w:ind w:left="420"/>
      </w:pPr>
      <w:r>
        <w:t xml:space="preserve">2. die ihm auf einem Flugplatz überlassenen Bereiche der Luftseite gegen unberechtigten Zugang zu sichern und, soweit es sich um Sicherheitsbereiche handelt, den Zugang nur hierzu besonders berechtigten Personen zu gestatten; soweit Betriebsgebäude, Frachtanlagen und sonstige Betriebseinrichtungen von dem Luftfahrtunternehmen selbst oder in seinem Auftrag errichtet oder von ihm selbst betrieben werden, gilt § 8 Absatz 1 Nummer 1 bis 7 entsprechend;</w:t>
      </w:r>
    </w:p>
    <w:p>
      <w:pPr>
        <w:ind w:left="420"/>
      </w:pPr>
      <w:r>
        <w:t xml:space="preserve">3. Personal, das Luftsicherheitsaufgaben wahrnimmt, sowie Personen mit Zugang zu Sicherheitsbereichen oder zu Gegenständen, die zur Luftseite eines Flughafens oder in Luftfahrzeuge verbracht werden, nach Maßgabe von Abschnitt 11.2. des Anhangs der Durchführungsverordnung (EU) 2015/1998 zu schulen;</w:t>
      </w:r>
    </w:p>
    <w:p>
      <w:pPr>
        <w:ind w:left="420"/>
      </w:pPr>
      <w:r>
        <w:t xml:space="preserve">4. seine auf einem Flugplatz abgestellten Luftfahrzeuge so zu sichern, dass weder unberechtigte Personen Zutritt haben noch verbotene Gegenstände in das Luftfahrzeug verbracht werden können;</w:t>
      </w:r>
    </w:p>
    <w:p>
      <w:pPr>
        <w:ind w:left="420"/>
      </w:pPr>
      <w:r>
        <w:t xml:space="preserve">5. Luftfahrzeuge, die Gegenstand von Bedrohungen, insbesondere von Bombendrohungen sind, auf eine Sicherheitsposition zu verbringen oder bei einer Verbringung durch den Flugplatzbetreiber nach § 8 Absatz 1 Satz 1 Nummer 7 mitzuwirken;</w:t>
      </w:r>
    </w:p>
    <w:p>
      <w:pPr>
        <w:ind w:left="420"/>
      </w:pPr>
      <w:r>
        <w:t xml:space="preserve">6. soweit erforderlich, an der Überprüfung nach § 7 mitzuwirken.</w:t>
      </w:r>
    </w:p>
    <w:p>
      <w:r>
        <w:t xml:space="preserve">Die in Satz 1 Nummer 1 bis 6 aufgeführten Sicherheitsmaßnahmen sind von dem Unternehmen in einem Luftsicherheitsprogramm im Sinne des Artikels 13 Absatz 1 der Verordnung (EG) Nr. 300/2008 darzustellen, welches der Luftsicherheitsbehörde innerhalb einer von ihr zu bestimmenden Frist zur Zulassung vorzulegen ist; die Luftsicherheitsbehörde kann Ausnahmen von der Vorlagepflicht sowie für Luftfahrtunternehmen, die ausschließlich Luftfahrzeuge mit einem Höchstgewicht von bis zu 5,7 Tonnen betreiben, auch Ausnahmen von den Verpflichtungen nach Absatz 1 zulassen. In regelmäßigen Abständen von nicht mehr als fünf Jahren hat eine Überprüfung der Zulassungsvoraussetzungen zu erfolgen; die Luftsicherheitsbehörde kann kürzere Zeitabstände für die Überprüfung der Zulassungsvoraussetzungen festlegen. Bestehen begründete Zweifel am Fortbestand der Zulassungsvoraussetzungen, kann die Zulassung entzogen werden. Die Zulassung kann mit Nebenbestimmungen versehen werden. Nachträgliche Auflagen sind zulässig. Die Luftfahrtunternehmen sind verpflichtet, die im Luftsicherheitsprogramm oder die im nach Artikel 13 Absatz 3 Satz 1 der Verordnung (EG) Nr. 300/2008 anzuerkennenden Luftsicherheitsprogramm dargestellten Sicherheitsmaßnahmen innerhalb der von der Luftsicherheitsbehörde vorgegebenen Frist oder, soweit keine Frist vorgegeben wird, innerhalb eines Monats nach der Zulassung durchzuführen; sie benennen eine Person, die für die Sicherheit im Unternehmen zuständig ist.</w:t>
      </w:r>
    </w:p>
    <w:p>
      <w:r>
        <w:t xml:space="preserve">(1a) Die Luftfahrtunternehmen sollen die Tätigkeit der Luftsicherheits-Verbindungsbeamten der Bundespolizei in Drittstaaten unterstützen.</w:t>
      </w:r>
    </w:p>
    <w:p>
      <w:r>
        <w:t xml:space="preserve">(2) Absatz 1 gilt</w:t>
      </w:r>
    </w:p>
    <w:p>
      <w:pPr>
        <w:ind w:left="420"/>
      </w:pPr>
      <w:r>
        <w:t xml:space="preserve">1. für Luftfahrtunternehmen, die eine Genehmigung nach § 20 des Luftverkehrsgesetzes besitzen, auch außerhalb des Geltungsbereichs dieses Gesetzes, wenn und soweit die jeweils örtlich geltenden Vorschriften nicht entgegenstehen;</w:t>
      </w:r>
    </w:p>
    <w:p>
      <w:pPr>
        <w:ind w:left="420"/>
      </w:pPr>
      <w:r>
        <w:t xml:space="preserve">2. für Luftfahrtunternehmen, die ihren Hauptsitz außerhalb des Geltungsbereichs dieses Gesetzes haben, sofern sie Verkehrsflughäfen in der Bundesrepublik Deutschland benutzen, auch außerhalb des Geltungsbereichs dieses Gesetzes, wenn und soweit die jeweils örtlich geltenden Vorschriften nicht entgegenstehen.</w:t>
      </w:r>
    </w:p>
    <w:p>
      <w:r>
        <w:t xml:space="preserve">(3) Die Luftsicherheitsbehörde kann ein Luftfahrtunternehmen zur Durchführung von Sicherheitsmaßnahmen entsprechend Absatz 1 auch auf sonstigen Flugplätzen verpflichten, soweit dies zur Sicherung des Betriebs des Luftfahrtunternehmens erforderlich ist.</w:t>
      </w:r>
    </w:p>
    <w:p>
      <w:r>
        <w:t xml:space="preserve">(3a) Ein Luftfahrtunternehmen, das die Voraussetzungen nach Ziffer 6.8.1. des Anhangs der Durchführungsverordnung (EU) 2015/1998 erfüllt, wird als Luftfahrtunternehmen, das Luftfracht oder Luftpost von einem Drittstaaten-Flughafen in die Europäische Union befördert (ACC3), benannt.</w:t>
      </w:r>
    </w:p>
    <w:p>
      <w:r>
        <w:t xml:space="preserve">(3b) Wurde ein ACC3 nach Ziffer 6.8.1.5. des Anhangs der Durchführungsverordnung (EU) 2015/1998 von der zuständigen Behörde eines EU-Mitgliedstaates in die Datenbank der Europäischen Union zur Sicherheit der Lieferkette aufgenommen, gilt es als für alle Beförderungen von dem erfassten Drittstaaten-Flughafen in die Bundesrepublik Deutschland als von der Luftsicherheitsbehörde anerkannt.</w:t>
      </w:r>
    </w:p>
    <w:p>
      <w:r>
        <w:t xml:space="preserve">(3c) Die EU-Validierung der Luftsicherheit eines ACC3 kann durch in Drittstaaten entsandte Luftsicherheitsverbindungsbeamte der Bundespolizei, das Luftfahrt-Bundesamt, einem von der Luftsicherheitsbehörde zugelassenen EU-Validierungsprüfer oder einem von der EU-Kommission als gleichwertig anerkannten Validierungsprüfer durchgeführt werden. Die Luftsicherheitsbehörde lässt natürliche oder juristische Personen als EU-Validierungsprüfer für die Luftsicherheit zu, wenn diese die in Ziffer 11.6.3. des Anhangs der Durchführungsverordnung (EU) 2015/1998 enthaltenen sowie durch Rechtsverordnung nach § 17 Absatz 7 näher bestimmten Voraussetzungen erfüllen. Die Zulassung kann mit Nebenbestimmungen versehen werden. Nachträgliche Auflagen sind zulässig.</w:t>
      </w:r>
    </w:p>
    <w:p>
      <w:r>
        <w:t xml:space="preserve">(3d) Die von der zuständigen Behörde eines EU-Mitgliedstaates vorgenommene EU-Validierung der Luftsicherheit gilt als von der Luftsicherheitsbehörde anerkannt.</w:t>
      </w:r>
    </w:p>
    <w:p>
      <w:r>
        <w:t xml:space="preserve">(4) Ein anderer als der in Absatz 1 bezeichnete Halter von Luftfahrzeugen kann von der Luftsicherheitsbehörde zur Durchführung der Sicherheitsmaßnahmen entsprechend den Absätzen 1 bis 3 verpflichtet werden, soweit dies zur Sicherung des Flugbetriebs erforderlich ist.</w:t>
      </w:r>
    </w:p>
    <w:p>
      <w:r>
        <w:rPr>
          <w:color w:val="555555"/>
          <w:sz w:val="17"/>
        </w:rPr>
        <w:t xml:space="preserve">Zitiervorschlag: § 9 LuftSiG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