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LuftSiG — Sicherheitsmaßnahmen der Flugplatzbetreiber</w:t>
      </w:r>
    </w:p>
    <w:p>
      <w:r>
        <w:rPr>
          <w:color w:val="555555"/>
          <w:sz w:val="18"/>
        </w:rPr>
        <w:t xml:space="preserve">Luftsicherheitsgesetz</w:t>
      </w:r>
    </w:p>
    <w:p>
      <w:r>
        <w:rPr>
          <w:color w:val="555555"/>
          <w:sz w:val="18"/>
        </w:rPr>
        <w:t xml:space="preserve">Stand: 10.06.2019 (konsolidierte Textfassung, kein amtliches Inkrafttretensdatum)</w:t>
      </w:r>
    </w:p>
    <w:p>
      <w:r>
        <w:t xml:space="preserve">(1) Der Betreiber eines Flugplatzes ist zum Schutz des Flughafenbetriebs vor Angriffen auf die Sicherheit des Luftverkehrs verpflichtet,</w:t>
      </w:r>
    </w:p>
    <w:p>
      <w:pPr>
        <w:ind w:left="420"/>
      </w:pPr>
      <w:r>
        <w:t xml:space="preserve">1. Flughafenanlagen, Bauwerke, Räume und Einrichtungen so zu erstellen, zu gestalten und zu unterhalten, dass die erforderliche bauliche und technische Sicherung, die Zuführung von Passagieren und Gepäck und die sachgerechte Durchführung der personellen Sicherungs- und Schutzmaßnahmen und die Kontrolle der Bereiche der Luftseite ermöglicht werden sowie die dafür erforderlichen Flächen bereitzustellen und zu unterhalten; ausgenommen von dieser Verpflichtung sind Geräte zur Überprüfung von Fluggästen und deren Handgepäck sowie Einrichtungen und Geräte zur Überprüfung von Post, aufgegebenem Gepäck, Fracht und Bordvorräten auf die in § 11 Absatz 1 genannten verbotenen Gegenstände mittels technischer Verfahren;</w:t>
      </w:r>
    </w:p>
    <w:p>
      <w:pPr>
        <w:ind w:left="420"/>
      </w:pPr>
      <w:r>
        <w:t xml:space="preserve">2. Post, aufgegebenes Gepäck, Fracht, Bordvorräte und Flughafenlieferungen zur Durchführung von Sicherheitsmaßnahmen sicher zu transportieren und zu lagern; dies schließt den Transport zu und zwischen einer mehrstufigen Kontrollanlage ein;</w:t>
      </w:r>
    </w:p>
    <w:p>
      <w:pPr>
        <w:ind w:left="420"/>
      </w:pPr>
      <w:r>
        <w:t xml:space="preserve">3. bei Durchsuchungen des aufgegebenen Gepäcks nach § 5 Abs. 3 den Fluggast herbeizuholen oder bei Durchsuchungen in Abwesenheit des Fluggastes die Schlösser der Gepäckstücke zu öffnen;</w:t>
      </w:r>
    </w:p>
    <w:p>
      <w:pPr>
        <w:ind w:left="420"/>
      </w:pPr>
      <w:r>
        <w:t xml:space="preserve">4. die Bereiche der Luftseite gegen unberechtigten Zugang zu sichern und, soweit es sich um Sicherheitsbereiche oder sensible Teile der Sicherheitsbereiche handelt, den Zugang nur hierzu besonders berechtigten Personen zu gestatten;</w:t>
      </w:r>
    </w:p>
    <w:p>
      <w:pPr>
        <w:ind w:left="420"/>
      </w:pPr>
      <w:r>
        <w:t xml:space="preserve">5. eigene Mitarbeiter, Mitarbeiter anderer auf dem Flugplatz tätiger Unternehmen und andere Personen vor dem Zugang zu Sicherheitsbereichen und zu den sensiblen Teilen der Sicherheitsbereiche nach den Ziffern 1.2. und 1.3. des Anhangs der Verordnung (EG) Nr. 300/2008 des Europäischen Parlaments und des Rates vom 11. März 2008 über gemeinsame Vorschriften für die Sicherheit in der Zivilluftfahrt und zur Aufhebung der Verordnung (EG) Nr. 2320/2002 (ABl. L 97 vom 9.4.2008, S. 72) in der jeweils geltenden Fassung zu durchsuchen oder in sonstiger geeigneter Weise zu kontrollieren sowie von diesen mitgeführte Gegenstände und Fahrzeuge zu durchsuchen, zu durchleuchten oder in sonstiger geeigneter Weise zu überprüfen; dies gilt auch für auf andere Weise in diese Bereiche eingeführte Waren und Versorgungsgüter, insbesondere für Flughafenlieferungen;</w:t>
      </w:r>
    </w:p>
    <w:p>
      <w:pPr>
        <w:ind w:left="420"/>
      </w:pPr>
      <w:r>
        <w:t xml:space="preserve">6. Personal, das Luftsicherheitsaufgaben wahrnimmt, sowie Personen mit Zugang zu Sicherheitsbereichen oder zu Gegenständen, die zur Luftseite eines Flughafens oder in Luftfahrzeuge verbracht werden, nach Maßgabe von Abschnitt 11.2. des Anhangs der Durchführungsverordnung (EU) 2015/1998 zu schulen;</w:t>
      </w:r>
    </w:p>
    <w:p>
      <w:pPr>
        <w:ind w:left="420"/>
      </w:pPr>
      <w:r>
        <w:t xml:space="preserve">7. Luftfahrzeuge, die Gegenstand von Bedrohungen, insbesondere von Bombendrohungen, sind, auf Sicherheitspositionen zu verbringen oder bei einer Verbringung durch das Luftfahrtunternehmen nach § 9 Absatz 1 Satz 1 Nummer 5 mitzuwirken und die Entladung sowie die Ver- und Entsorgung der Luftfahrzeuge durchzuführen;</w:t>
      </w:r>
    </w:p>
    <w:p>
      <w:pPr>
        <w:ind w:left="420"/>
      </w:pPr>
      <w:r>
        <w:t xml:space="preserve">8. soweit erforderlich, an der Überprüfung nach § 7 mitzuwirken.</w:t>
      </w:r>
    </w:p>
    <w:p>
      <w:r>
        <w:t xml:space="preserve">Die in Satz 1 Nummer 1 bis 8 aufgeführten Sicherheitsmaßnahmen sind von dem Betreiber in einem Luftsicherheitsprogramm im Sinne des Artikels 12 Absatz 1 der Verordnung (EG) Nr. 300/2008 darzustellen, welcher der Luftsicherheitsbehörde innerhalb einer von ihr zu bestimmenden Frist zur Zulassung vorzulegen ist. Die Zulassung kann mit Nebenbestimmungen versehen werden. Nachträgliche Auflagen sind zulässig. Der Betreiber eines Flugplatzes ist verpflichtet, die im zugelassenen Luftsicherheitsprogramm dargestellten Sicherheitsmaßnahmen innerhalb der von der Luftsicherheitsbehörde vorgegebenen Frist oder, soweit keine Frist vorgegeben wird, innerhalb eines Monats nach der Zulassung durchzuführen; er benennt eine Person, die für die Sicherheit im Unternehmen zuständig ist. In regelmäßigen Abständen von nicht mehr als fünf Jahren hat eine Überprüfung des Luftsicherheitsprogramms zu erfolgen; die Luftsicherheitsbehörde kann kürzere Zeitabstände für die Überprüfung des Luftsicherheitsprogramms festlegen.</w:t>
      </w:r>
    </w:p>
    <w:p>
      <w:r>
        <w:t xml:space="preserve">(2) Für Flugplätze sowie für abgegrenzte Bereiche von Flugplätzen kann die Luftsicherheitsbehörde auf der Grundlage einer Risikobewertung Abweichungen von Absatz 1 festlegen, soweit die Voraussetzungen nach der Verordnung (EU) Nr. 1254/2009 der Kommission vom 18. Dezember 2009 zur Festlegung der Bedingungen, unter denen die Mitgliedstaaten von den gemeinsamen Grundnormen für die Luftsicherheit in der Zivilluftfahrt abweichen und alternative Sicherheitsmaßnahmen treffen können (ABl. L 338 vom 19.12.2009, S. 17), in der jeweils geltenden Fassung vorliegen. Hierbei ist den einsatz- und betriebsbezogenen Notwendigkeiten von polizeilichen Flügen sowie von Ambulanz-, Notfall- und Rettungsflügen besonders Rechnung zu tragen.</w:t>
      </w:r>
    </w:p>
    <w:p>
      <w:r>
        <w:t xml:space="preserve">(3) Für die Bereitstellung und Unterhaltung von Räumen und Flächen nach den Absätzen 1 und 2, die der für die Durchführung der Maßnahmen gemäß § 5 zuständigen Behörde zur Verfügung gestellt worden sind, kann der Verpflichtete die Vergütung seiner Selbstkosten verlangen. Im Übrigen trägt der Verpflichtete die Kosten für die Sicherheitsmaßnahmen nach den Absätzen 1 und 2. Zur Feststellung der Selbstkosten im Sinne dieses Gesetzes finden die Vorschriften des Preisrechts bei öffentlichen Aufträgen entsprechende Anwendung. Unterschreitet der Marktpreis die Selbstkosten, ist der Marktpreis maßgeblich.</w:t>
      </w:r>
    </w:p>
    <w:p>
      <w:r>
        <w:rPr>
          <w:color w:val="555555"/>
          <w:sz w:val="17"/>
        </w:rPr>
        <w:t xml:space="preserve">Zitiervorschlag: § 8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