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LuftSiG — Übergangsregelung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Regelung in § 7 Absatz 1 Satz 2 ist erst ein Jahr nach dem 4. März 2017 anzuwenden. Bereits vor diesem Zeitpunkt können die Betroffenen einen Antrag auf Zuverlässigkeitsüberprüfung stellen.</w:t>
      </w:r>
    </w:p>
    <w:p>
      <w:r>
        <w:t xml:space="preserve">(2) Eine Überprüfung der Luftsicherheitsprogramme nach § 8 Absatz 1 Satz 6 und § 9 Absatz 1 Satz 3 muss frühestens ein Jahr nach dem 4. März 2017 erfolgen.</w:t>
      </w:r>
    </w:p>
    <w:p>
      <w:r>
        <w:t xml:space="preserve">(3) Die Zulassungspflicht von Transporteuren nach § 9a Absatz 2 Satz 1 beginnt ein Jahr nach dem 4. März 2017.</w:t>
      </w:r>
    </w:p>
    <w:p>
      <w:r>
        <w:rPr>
          <w:color w:val="555555"/>
          <w:sz w:val="17"/>
        </w:rPr>
        <w:t xml:space="preserve">Zitiervorschlag: § 22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