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LuftSiG — Bußgeld- und Strafvorschriften zu § 12</w:t>
      </w:r>
    </w:p>
    <w:p>
      <w:r>
        <w:rPr>
          <w:color w:val="555555"/>
          <w:sz w:val="18"/>
        </w:rPr>
        <w:t xml:space="preserve">Luftsicherheitsgesetz</w:t>
      </w:r>
    </w:p>
    <w:p>
      <w:r>
        <w:rPr>
          <w:color w:val="555555"/>
          <w:sz w:val="18"/>
        </w:rPr>
        <w:t xml:space="preserve">Stand: 10.06.2019 (konsolidierte Textfassung, kein amtliches Inkrafttretensdatum)</w:t>
      </w:r>
    </w:p>
    <w:p>
      <w:r>
        <w:t xml:space="preserve">(1) Ordnungswidrig handelt, wer entgegen § 12 Abs. 4 als an Bord befindliche Person den Anordnungen des Luftfahrzeugführers oder seiner Beauftragten nicht Folge leistet. Die Ordnungswidrigkeit kann mit einer Geldbuße bis zu fünfundzwanzigtausend Euro geahndet werden. Verwaltungsbehörde im Sinne des § 36 Absatz 1 Nummer 1 des Gesetzes über Ordnungswidrigkeiten ist das Luftfahrt-Bundesamt.</w:t>
      </w:r>
    </w:p>
    <w:p>
      <w:r>
        <w:t xml:space="preserve">(2) Wer eine in Absatz 1 bezeichnete Handlung begeht und dabei mit Gewalt oder durch Drohung mit Gewalt Widerstand leistet, wird mit Freiheitsstrafe bis zu zwei Jahren oder mit Geldstrafe bestraft.</w:t>
      </w:r>
    </w:p>
    <w:p>
      <w:r>
        <w:t xml:space="preserve">(3) In besonders schweren Fällen des Absatzes 2 ist die Strafe Freiheitsstrafe von sechs Monaten bis zu fünf Jahren. Ein besonders schwerer Fall liegt in der Regel vor, wenn</w:t>
      </w:r>
    </w:p>
    <w:p>
      <w:pPr>
        <w:ind w:left="420"/>
      </w:pPr>
      <w:r>
        <w:t xml:space="preserve">1. der Täter oder ein anderer Beteiligter eine Waffe bei sich führt, um diese bei der Tat zu verwenden, oder</w:t>
      </w:r>
    </w:p>
    <w:p>
      <w:pPr>
        <w:ind w:left="420"/>
      </w:pPr>
      <w:r>
        <w:t xml:space="preserve">2. der Täter durch eine Gewalttätigkeit den Angegriffenen in die Gefahr des Todes oder einer schweren Gesundheitsbeschädigung bringt.</w:t>
      </w:r>
    </w:p>
    <w:p>
      <w:r>
        <w:rPr>
          <w:color w:val="555555"/>
          <w:sz w:val="17"/>
        </w:rPr>
        <w:t xml:space="preserve">Zitiervorschlag: § 20 LuftSiG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https://recht.nulegal.eu/gesetze/LuftSiG/20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