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LuftSiG — Beleihung</w:t>
      </w:r>
    </w:p>
    <w:p>
      <w:r>
        <w:rPr>
          <w:color w:val="555555"/>
          <w:sz w:val="18"/>
        </w:rPr>
        <w:t xml:space="preserve">Luftsicherheitsgesetz</w:t>
      </w:r>
    </w:p>
    <w:p>
      <w:r>
        <w:rPr>
          <w:color w:val="555555"/>
          <w:sz w:val="18"/>
        </w:rPr>
        <w:t xml:space="preserve">Stand: 03.05.2020 (konsolidierte Textfassung, kein amtliches Inkrafttretensdatum)</w:t>
      </w:r>
    </w:p>
    <w:p>
      <w:r>
        <w:t xml:space="preserve">(1) Die zuständige Luftsicherheitsbehörde kann natürlichen Personen sowie teilrechtsfähigen Vereinigungen und juristischen Personen des Privatrechts als Beliehenen die Wahrnehmung folgender Aufgaben übertragen:</w:t>
      </w:r>
    </w:p>
    <w:p>
      <w:pPr>
        <w:ind w:left="420"/>
      </w:pPr>
      <w:r>
        <w:t xml:space="preserve">1. bestimmte Aufgaben bei der Durchführung von Sicherheitsmaßnahmen nach § 5 Absatz 1 bis 3 und</w:t>
      </w:r>
    </w:p>
    <w:p>
      <w:pPr>
        <w:ind w:left="420"/>
      </w:pPr>
      <w:r>
        <w:t xml:space="preserve">2. Zulassungs-, Zertifizierungs- und Überwachungsaufgaben nach § 9 Absatz 1 Satz 2 bis 6, § 9 Absatz 3, § 9a Absatz 2 und § 10a Absatz 2 bis 4.</w:t>
      </w:r>
    </w:p>
    <w:p>
      <w:r>
        <w:t xml:space="preserve">(2) Die Beleihung ist nur zulässig, wenn</w:t>
      </w:r>
    </w:p>
    <w:p>
      <w:pPr>
        <w:ind w:left="420"/>
      </w:pPr>
      <w:r>
        <w:t xml:space="preserve">1. der zu Beleihende für die zu übertragende Aufgabe geeignet, sach- und fachkundig und zuverlässig ist; insbesondere müssen die erforderlichen speziellen rechtlichen und technischen Kenntnisse nachgewiesen werden,</w:t>
      </w:r>
    </w:p>
    <w:p>
      <w:pPr>
        <w:ind w:left="420"/>
      </w:pPr>
      <w:r>
        <w:t xml:space="preserve">2. die Erfüllung der übertragenen Aufgaben sichergestellt ist und</w:t>
      </w:r>
    </w:p>
    <w:p>
      <w:pPr>
        <w:ind w:left="420"/>
      </w:pPr>
      <w:r>
        <w:t xml:space="preserve">3. keine überwiegenden öffentlichen Interessen entgegenstehen.</w:t>
      </w:r>
    </w:p>
    <w:p>
      <w:r>
        <w:t xml:space="preserve">Die beleihende Behörde hat sich anhand geeigneter Nachweise vom Vorliegen der in Satz 1 Nummer 1 genannten Voraussetzungen zu überzeugen. Die beleihende Behörde darf Auskünfte bei der Luftsicherheitsbehörde nach § 7 über dort vorliegende Erkenntnisse einholen.</w:t>
      </w:r>
    </w:p>
    <w:p>
      <w:r>
        <w:t xml:space="preserve">(3) Die Beleihung kann jederzeit ganz oder teilweise zurückgenommen, widerrufen oder mit Nebenbestimmungen verbunden werden.</w:t>
      </w:r>
    </w:p>
    <w:p>
      <w:r>
        <w:t xml:space="preserve">(4) Der Beliehene ist im Rahmen der ihm übertragenen Aufgaben und der sonst geltenden Gesetze befugt, die erforderlichen Maßnahmen zu treffen. § 3 Absatz 4 gilt entsprechend.</w:t>
      </w:r>
    </w:p>
    <w:p>
      <w:r>
        <w:t xml:space="preserve">(5) Der Beliehene untersteht der Aufsicht der Luftsicherheitsbehörde, die die Beleihung vorgenommen hat.</w:t>
      </w:r>
    </w:p>
    <w:p>
      <w:r>
        <w:t xml:space="preserve">(6) Wird der Rechtsträger der Luftsicherheitsbehörde, die die Beleihung vorgenommen hat, von einem Dritten wegen eines Schadens in Anspruch genommen, den der Beliehene in Ausübung des ihm anvertrauten Amtes diesem durch eine Amtspflichtverletzung zugefügt hat, so kann der Rechtsträger bei Vorsatz und grober Fahrlässigkeit beim Beliehenen Rückgriff nehmen. Vertragliche Ansprüche des Rechtsträgers aus demselben Schadensereignis gegen Dritte, insbesondere den Arbeitgeber des Beliehenen, bleiben unberührt und sind vorrangig geltend zu machen.</w:t>
      </w:r>
    </w:p>
    <w:p>
      <w:r>
        <w:rPr>
          <w:color w:val="555555"/>
          <w:sz w:val="17"/>
        </w:rPr>
        <w:t xml:space="preserve">Zitiervorschlag: § 16a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