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15a LuftSiG — Gefahrenabwehr gegen unbemannte Luftfahrzeuge</w:t>
      </w:r>
    </w:p>
    <w:p>
      <w:r>
        <w:rPr>
          <w:color w:val="555555"/>
          <w:sz w:val="18"/>
        </w:rPr>
        <w:t xml:space="preserve">Luftsicherheitsgesetz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Die Streitkräfte leisten bei der Abwehr von Gefahren durch unbemannte Luftfahrzeuge Amtshilfe nach Artikel 35 Absatz 1 des Grundgesetzes. Dies erfolgt insbesondere in Form der Bereitstellung von Detektionstechnik und Interventionstechnik.</w:t>
      </w:r>
    </w:p>
    <w:p>
      <w:r>
        <w:t xml:space="preserve">(2) Zur Verhinderung des Eintritts eines besonders schweren Unglücksfalles dürfen die Streitkräfte über die in § 14 Absatz 1 genannten Befugnisse hinaus auch Waffengewalt oder sonstige Wirkmittel gegen unbemannte Luftfahrzeuge einsetzen. § 14 Absatz 2 gilt entsprechend.</w:t>
      </w:r>
    </w:p>
    <w:p>
      <w:r>
        <w:t xml:space="preserve">(3) Die Bundespolizei übermittelt im Rahmen ihrer Zuständigkeit nach den §§ 4 und 14 des Bundespolizeigesetzes Informationen im Zusammenhang mit unbemannten Luftfahrzeugen bei tatsächlichen Anhaltspunkten für das Vorliegen eines Falls der Verteidigung nach Artikel 87a Absatz 1 und 2 des Grundgesetzes unverzüglich an die Streitkräfte.</w:t>
      </w:r>
    </w:p>
    <w:p>
      <w:r>
        <w:rPr>
          <w:color w:val="555555"/>
          <w:sz w:val="17"/>
        </w:rPr>
        <w:t xml:space="preserve">Zitiervorschlag: § 15a LuftSiG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https://recht.nulegal.eu/gesetze/LuftSiG/15a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