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LuftSiG — Verbotene Gegenstände</w:t>
      </w:r>
    </w:p>
    <w:p>
      <w:r>
        <w:rPr>
          <w:color w:val="555555"/>
          <w:sz w:val="18"/>
        </w:rPr>
        <w:t xml:space="preserve">Luftsicherheitsgesetz</w:t>
      </w:r>
    </w:p>
    <w:p>
      <w:r>
        <w:rPr>
          <w:color w:val="555555"/>
          <w:sz w:val="18"/>
        </w:rPr>
        <w:t xml:space="preserve">Stand: 10.06.2019 (konsolidierte Textfassung, kein amtliches Inkrafttretensdatum)</w:t>
      </w:r>
    </w:p>
    <w:p>
      <w:r>
        <w:t xml:space="preserve">(1) Das Mitführen im Handgepäck oder Ansichtragen von</w:t>
      </w:r>
    </w:p>
    <w:p>
      <w:pPr>
        <w:ind w:left="420"/>
      </w:pPr>
      <w:r>
        <w:t xml:space="preserve">1. Schuss-, Hieb- und Stoßwaffen sowie Sprühgeräten, die zu Angriffs- oder Verteidigungszwecken verwendet werden können,</w:t>
      </w:r>
    </w:p>
    <w:p>
      <w:pPr>
        <w:ind w:left="420"/>
      </w:pPr>
      <w:r>
        <w:t xml:space="preserve">2. Sprengstoffen, Munition, Zündkapseln, brennbaren Flüssigkeiten, ätzenden oder giftigen Stoffen, Gasen in Behältern sowie sonstigen Stoffen, die allein oder zusammen mit anderen Gegenständen eine Explosion oder einen Brand verursachen können,</w:t>
      </w:r>
    </w:p>
    <w:p>
      <w:pPr>
        <w:ind w:left="420"/>
      </w:pPr>
      <w:r>
        <w:t xml:space="preserve">3. Gegenständen, die ihrer äußeren Form oder ihrer Kennzeichnung nach den Anschein von Waffen, Munition oder explosionsgefährlichen Stoffen erwecken,</w:t>
      </w:r>
    </w:p>
    <w:p>
      <w:pPr>
        <w:ind w:left="420"/>
      </w:pPr>
      <w:r>
        <w:t xml:space="preserve">4. sonstigen in der Anlage 4-C zu Kapitel 4 des Anhangs der Durchführungsverordnung (EU) 2015/1998 genannten Gegenständen</w:t>
      </w:r>
    </w:p>
    <w:p>
      <w:r>
        <w:t xml:space="preserve">(„verbotene Gegenstände“) in Luftfahrzeugen und in den Bereichen der Luftseite auf Flugplätzen ist verboten. Abweichend von Satz 1 gelten als verbotene Gegenstände</w:t>
      </w:r>
    </w:p>
    <w:p>
      <w:pPr>
        <w:ind w:left="420"/>
      </w:pPr>
      <w:r>
        <w:t xml:space="preserve">1. in aufgegebenem Gepäck die in Anlage 5-B zu Kapitel 5 des Anhangs der Durchführungsverordnung (EU) 2015/1998 genannten Gegenstände;</w:t>
      </w:r>
    </w:p>
    <w:p>
      <w:pPr>
        <w:ind w:left="420"/>
      </w:pPr>
      <w:r>
        <w:t xml:space="preserve">2. in Fracht und Post die in Ziffer 6.0.2. des Anhangs der Durchführungsverordnung (EU) 2015/1998 genannten Gegenstände;</w:t>
      </w:r>
    </w:p>
    <w:p>
      <w:pPr>
        <w:ind w:left="420"/>
      </w:pPr>
      <w:r>
        <w:t xml:space="preserve">3. in Bordvorräten und Flughafenlieferungen die in Anlage 1-A zu Kapitel 1 des Anhangs der Durchführungsverordnung (EU) 2015/1998 genannten Gegenstände;</w:t>
      </w:r>
    </w:p>
    <w:p>
      <w:pPr>
        <w:ind w:left="420"/>
      </w:pPr>
      <w:r>
        <w:t xml:space="preserve">4. für Personen, die keine Fluggäste sind, die in Anlage 1-A zu Kapitel 1 des Anhangs der Durchführungsverordnung (EU) 2015/1998 genannten Gegenstände; dies gilt auch dann, wenn diese Gegenstände sich in sonstigen mitgeführten Gegenständen oder in Fahrzeugen befinden.</w:t>
      </w:r>
    </w:p>
    <w:p>
      <w:r>
        <w:t xml:space="preserve">(2) Das Bundesministerium des Innern kann allgemein oder im Einzelfall Ausnahmen von den in Absatz 1 geregelten Fällen zulassen, soweit ein Bedürfnis besteht und die nach anderen Rechtsvorschriften erforderliche Erlaubnis zum Mitführen dieser Gegenstände vorliegt. Die Erlaubnis kann mit einer Nebenbestimmung versehen werden. Soweit in Fällen des Absatzes 1 Satz 1 überlassene Bereiche im Sinne des § 9 Absatz 1 Satz 1 Nummer 2 betroffen sind sowie in Fällen des Absatzes 1 Satz 2 Nummer 2 kann das Bundesministerium des Innern Ausnahmen nur im Einvernehmen mit dem Bundesministerium für Verkehr und digitale Infrastruktur erteilen.</w:t>
      </w:r>
    </w:p>
    <w:p>
      <w:r>
        <w:t xml:space="preserve">(3) § 27 Abs. 2 des Luftverkehrsgesetzes bleibt unberührt.</w:t>
      </w:r>
    </w:p>
    <w:p>
      <w:r>
        <w:rPr>
          <w:color w:val="555555"/>
          <w:sz w:val="17"/>
        </w:rPr>
        <w:t xml:space="preserve">Zitiervorschlag: § 11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