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LuftSiAV — Ausnahmen</w:t>
      </w:r>
    </w:p>
    <w:p>
      <w:r>
        <w:rPr>
          <w:color w:val="555555"/>
          <w:sz w:val="18"/>
        </w:rPr>
        <w:t xml:space="preserve">Luftsicherheitsausrüstungsverordnung</w:t>
      </w:r>
    </w:p>
    <w:p>
      <w:r>
        <w:rPr>
          <w:color w:val="555555"/>
          <w:sz w:val="18"/>
        </w:rPr>
        <w:t xml:space="preserve">Stand: 28.05.2021 (konsolidierte Textfassung, kein amtliches Inkrafttretensdatum)</w:t>
      </w:r>
    </w:p>
    <w:p>
      <w:r>
        <w:t xml:space="preserve">Das Bundesministerium des Innern, für Bau und Heimat und das Bundesministerium für Verkehr und digitale Infrastruktur können jeweils im Rahmen ihrer Zuständigkeit Ausnahmen von den §§ 5, 6, 8, 9, 10, 11 und 12 dieser Verordnung für bestimmte Einzelfälle genehmigen, sofern dies für die Erprobung neuer Sicherheitsausrüstungen oder zum Schutz vor Angriffen auf die Sicherheit des zivilen Luftverkehrs erforderlich ist.</w:t>
      </w:r>
    </w:p>
    <w:p>
      <w:r>
        <w:rPr>
          <w:color w:val="555555"/>
          <w:sz w:val="17"/>
        </w:rPr>
        <w:t xml:space="preserve">Zitiervorschlag: § 19 LuftSiAV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https://recht.nulegal.eu/gesetze/LuftSiAV/19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