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LuftSiAV — Anforderungen</w:t>
      </w:r>
    </w:p>
    <w:p>
      <w:r>
        <w:rPr>
          <w:color w:val="555555"/>
          <w:sz w:val="18"/>
        </w:rPr>
        <w:t xml:space="preserve">Luftsicherheitsausrüstungsverordnung</w:t>
      </w:r>
    </w:p>
    <w:p>
      <w:r>
        <w:rPr>
          <w:color w:val="555555"/>
          <w:sz w:val="18"/>
        </w:rPr>
        <w:t xml:space="preserve">Stand: 28.05.2021 (konsolidierte Textfassung, kein amtliches Inkrafttretensdatum)</w:t>
      </w:r>
    </w:p>
    <w:p>
      <w:r>
        <w:t xml:space="preserve">Die Anforderungen für die Verwendung von Sprengstoffspürhunden ergeben sich aus Anlage 12-D des Durchführungsbeschlusses der Kommission C (2015) 8005 und der Anlage R zum Nationalen Luftsicherheitsprogramm. Die Anforderungen für den Hundeführer ergeben sich aus Nummer 12.9.4.1. d) des Anhangs der Durchführungsverordnung (EU) 2015/1998. Die Anforderungen für Sprengstoffspürhunde-Teams ergeben sich aus Nummer 12.9.2.2. bis Nummer 12.9.2.4. des Anhangs der Durchführungsverordnung (EU) 2015/1998 in Verbindung mit Nummer 12.9. des Durchführungsbeschlusses der Kommission C (2015) 8005.</w:t>
      </w:r>
    </w:p>
    <w:p>
      <w:r>
        <w:rPr>
          <w:color w:val="555555"/>
          <w:sz w:val="17"/>
        </w:rPr>
        <w:t xml:space="preserve">Zitiervorschlag: § 13 LuftSiAV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https://recht.nulegal.eu/gesetze/LuftSiAV/13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