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LuftSchlichtV — Tätigkeitsbericht</w:t>
      </w:r>
    </w:p>
    <w:p>
      <w:r>
        <w:rPr>
          <w:color w:val="555555"/>
          <w:sz w:val="18"/>
        </w:rPr>
        <w:t xml:space="preserve">Luftverkehrsschlichtungsverordnung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Schlichtungsstelle hat jährlich einen Tätigkeitsbericht zu erstellen und zu veröffentlichen. Dem Bundesministerium der Justiz und für Verbraucherschutz ist unverzüglich nach Veröffentlichung eine Kopie des Tätigkeitsberichts zu übersenden.</w:t>
      </w:r>
    </w:p>
    <w:p>
      <w:r>
        <w:rPr>
          <w:color w:val="555555"/>
          <w:sz w:val="17"/>
        </w:rPr>
        <w:t xml:space="preserve">Zitiervorschlag: § 9 LuftSchlichtV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https://recht.nulegal.eu/gesetze/LuftSchlichtV/9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