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LuftSchlichtV — Geschäftsstelle</w:t>
      </w:r>
    </w:p>
    <w:p>
      <w:r>
        <w:rPr>
          <w:color w:val="555555"/>
          <w:sz w:val="18"/>
        </w:rPr>
        <w:t xml:space="preserve">Luftverkehrsschlichtungsverordnung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Schlichtungsstelle richtet eine Geschäftsstelle ein. Für die in der Geschäftsstelle tätigen Personen gilt § 4 Absatz 5 Satz 1 und 2 entsprechend.</w:t>
      </w:r>
    </w:p>
    <w:p>
      <w:r>
        <w:rPr>
          <w:color w:val="555555"/>
          <w:sz w:val="17"/>
        </w:rPr>
        <w:t xml:space="preserve">Zitiervorschlag: § 7 LuftSchlichtV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https://recht.nulegal.eu/gesetze/LuftSchlichtV/7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