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LuftSchlichtV — Besorgnis der Befangenheit</w:t>
      </w:r>
    </w:p>
    <w:p>
      <w:r>
        <w:rPr>
          <w:color w:val="555555"/>
          <w:sz w:val="18"/>
        </w:rPr>
        <w:t xml:space="preserve">Luftverkehrsschlichtungsverordnung</w:t>
      </w:r>
    </w:p>
    <w:p>
      <w:r>
        <w:rPr>
          <w:color w:val="555555"/>
          <w:sz w:val="18"/>
        </w:rPr>
        <w:t xml:space="preserve">Stand: 10.06.2019 (konsolidierte Textfassung, kein amtliches Inkrafttretensdatum)</w:t>
      </w:r>
    </w:p>
    <w:p>
      <w:r>
        <w:t xml:space="preserve">(1) Ein Schlichter darf nicht bei einer Streitigkeit tätig werden, wenn ein Grund vorliegt, der geeignet ist, Misstrauen gegen seine Unparteilichkeit zu rechtfertigen. Die Tätigkeit kann fortgeführt werden, wenn der Schlichter den Beteiligten die Umstände offenlegt, die seine Unparteilichkeit beeinträchtigen können, und die Beteiligten der Fortführung seiner Tätigkeit ausdrücklich zustimmen.</w:t>
      </w:r>
    </w:p>
    <w:p>
      <w:r>
        <w:t xml:space="preserve">(2) Das Nähere regelt die Verfahrensordnung nach § 8.</w:t>
      </w:r>
    </w:p>
    <w:p>
      <w:r>
        <w:rPr>
          <w:color w:val="555555"/>
          <w:sz w:val="17"/>
        </w:rPr>
        <w:t xml:space="preserve">Zitiervorschlag: § 5 LuftSchlichtV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https://recht.nulegal.eu/gesetze/LuftSchlichtV/5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