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LuftSchlichtV — Besetzung und Geschäftsverteilung der Schlichtungsstelle</w:t>
      </w:r>
    </w:p>
    <w:p>
      <w:r>
        <w:rPr>
          <w:color w:val="555555"/>
          <w:sz w:val="18"/>
        </w:rPr>
        <w:t xml:space="preserve">Luftverkehrsschlichtungsverordnung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Schlichtungsstelle ist mit mindestens zwei Schlichtern zu besetzen. Die Schlichter vertreten sich gegenseitig.</w:t>
      </w:r>
    </w:p>
    <w:p>
      <w:r>
        <w:t xml:space="preserve">(2) Vor jedem Geschäftsjahr ist die Geschäftsverteilung festzulegen. Eine Änderung der Geschäftsverteilung während des Geschäftsjahres ist nur aus wichtigem Grund zulässig.</w:t>
      </w:r>
    </w:p>
    <w:p>
      <w:r>
        <w:rPr>
          <w:color w:val="555555"/>
          <w:sz w:val="17"/>
        </w:rPr>
        <w:t xml:space="preserve">Zitiervorschlag: § 3 LuftSchlichtV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https://recht.nulegal.eu/gesetze/LuftSchlichtV/3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